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72" w:rsidRDefault="008C4672" w:rsidP="008C4672">
      <w:pPr>
        <w:tabs>
          <w:tab w:val="left" w:pos="8070"/>
        </w:tabs>
        <w:jc w:val="both"/>
        <w:rPr>
          <w:b/>
          <w:bCs/>
        </w:rPr>
      </w:pPr>
      <w:r>
        <w:rPr>
          <w:b/>
          <w:bCs/>
        </w:rPr>
        <w:t>DJEČJI VRTIĆ „VRTULJAK MARČANA“</w:t>
      </w:r>
    </w:p>
    <w:p w:rsidR="008C4672" w:rsidRDefault="008C4672" w:rsidP="008C4672">
      <w:pPr>
        <w:tabs>
          <w:tab w:val="left" w:pos="5895"/>
        </w:tabs>
        <w:jc w:val="both"/>
        <w:rPr>
          <w:b/>
          <w:bCs/>
        </w:rPr>
      </w:pPr>
      <w:r>
        <w:rPr>
          <w:b/>
          <w:bCs/>
        </w:rPr>
        <w:t xml:space="preserve">MARČANA, Marčana 158                                    </w:t>
      </w:r>
    </w:p>
    <w:p w:rsidR="008C4672" w:rsidRDefault="008C4672" w:rsidP="008C4672">
      <w:pPr>
        <w:tabs>
          <w:tab w:val="left" w:pos="5895"/>
        </w:tabs>
        <w:jc w:val="both"/>
        <w:rPr>
          <w:b/>
          <w:bCs/>
        </w:rPr>
      </w:pPr>
    </w:p>
    <w:p w:rsidR="008C4672" w:rsidRDefault="008C4672" w:rsidP="008C4672">
      <w:pPr>
        <w:tabs>
          <w:tab w:val="left" w:pos="5895"/>
        </w:tabs>
        <w:jc w:val="both"/>
        <w:rPr>
          <w:b/>
          <w:bCs/>
        </w:rPr>
      </w:pPr>
      <w:r>
        <w:rPr>
          <w:b/>
          <w:bCs/>
        </w:rPr>
        <w:t>OIB    37830921242</w:t>
      </w:r>
    </w:p>
    <w:p w:rsidR="008C4672" w:rsidRDefault="008C4672" w:rsidP="008C4672">
      <w:pPr>
        <w:tabs>
          <w:tab w:val="left" w:pos="5895"/>
        </w:tabs>
        <w:rPr>
          <w:b/>
          <w:bCs/>
        </w:rPr>
      </w:pPr>
      <w:r>
        <w:rPr>
          <w:b/>
          <w:bCs/>
        </w:rPr>
        <w:t xml:space="preserve">RKP-a:  35597                                                                                  </w:t>
      </w:r>
    </w:p>
    <w:p w:rsidR="008C4672" w:rsidRDefault="008C4672" w:rsidP="008C4672">
      <w:pPr>
        <w:rPr>
          <w:b/>
          <w:bCs/>
        </w:rPr>
      </w:pPr>
    </w:p>
    <w:p w:rsidR="008C4672" w:rsidRDefault="008C4672" w:rsidP="008C4672">
      <w:pPr>
        <w:rPr>
          <w:b/>
          <w:bCs/>
        </w:rPr>
      </w:pPr>
      <w:r>
        <w:rPr>
          <w:b/>
          <w:bCs/>
        </w:rPr>
        <w:t xml:space="preserve">Marčana, </w:t>
      </w:r>
      <w:r w:rsidR="009B6B5E">
        <w:rPr>
          <w:b/>
          <w:bCs/>
        </w:rPr>
        <w:t>04. veljače</w:t>
      </w:r>
      <w:r w:rsidR="00EC3A9B">
        <w:rPr>
          <w:b/>
          <w:bCs/>
        </w:rPr>
        <w:t xml:space="preserve"> 2025.</w:t>
      </w:r>
    </w:p>
    <w:p w:rsidR="008C4672" w:rsidRDefault="008C4672" w:rsidP="008C4672">
      <w:pPr>
        <w:rPr>
          <w:b/>
          <w:bCs/>
        </w:rPr>
      </w:pPr>
    </w:p>
    <w:p w:rsidR="008C4672" w:rsidRDefault="008C4672" w:rsidP="008C4672">
      <w:pPr>
        <w:rPr>
          <w:b/>
          <w:bCs/>
        </w:rPr>
      </w:pPr>
    </w:p>
    <w:p w:rsidR="008C4672" w:rsidRPr="008C4672" w:rsidRDefault="008C4672" w:rsidP="008C4672">
      <w:pPr>
        <w:jc w:val="both"/>
        <w:rPr>
          <w:bCs/>
        </w:rPr>
      </w:pPr>
      <w:r>
        <w:rPr>
          <w:bCs/>
        </w:rPr>
        <w:t xml:space="preserve">     </w:t>
      </w:r>
      <w:r w:rsidRPr="008C4672">
        <w:rPr>
          <w:bCs/>
        </w:rPr>
        <w:t xml:space="preserve">Na temelju članka 36. Zakona o ustanovama (Narodne novine broj: 76/93, 29/97, 47/99, 35/08. i 127/19.)  i članka </w:t>
      </w:r>
      <w:r w:rsidR="0099114A">
        <w:rPr>
          <w:bCs/>
        </w:rPr>
        <w:t>34</w:t>
      </w:r>
      <w:r w:rsidRPr="008C4672">
        <w:rPr>
          <w:bCs/>
        </w:rPr>
        <w:t xml:space="preserve">. Statuta </w:t>
      </w:r>
      <w:r w:rsidR="0099114A" w:rsidRPr="00995F69">
        <w:rPr>
          <w:color w:val="000000"/>
        </w:rPr>
        <w:t>Dječj</w:t>
      </w:r>
      <w:r w:rsidR="0099114A">
        <w:rPr>
          <w:color w:val="000000"/>
        </w:rPr>
        <w:t>eg</w:t>
      </w:r>
      <w:r w:rsidR="0099114A" w:rsidRPr="00995F69">
        <w:rPr>
          <w:color w:val="000000"/>
        </w:rPr>
        <w:t xml:space="preserve"> vrtić</w:t>
      </w:r>
      <w:r w:rsidR="0099114A">
        <w:rPr>
          <w:color w:val="000000"/>
        </w:rPr>
        <w:t>a</w:t>
      </w:r>
      <w:r w:rsidR="0099114A" w:rsidRPr="00995F69">
        <w:rPr>
          <w:color w:val="000000"/>
        </w:rPr>
        <w:t xml:space="preserve"> </w:t>
      </w:r>
      <w:r w:rsidR="0099114A">
        <w:rPr>
          <w:color w:val="000000"/>
        </w:rPr>
        <w:t>„</w:t>
      </w:r>
      <w:r w:rsidR="0099114A" w:rsidRPr="00995F69">
        <w:rPr>
          <w:color w:val="000000"/>
        </w:rPr>
        <w:t>Vrtuljak Marčana</w:t>
      </w:r>
      <w:r w:rsidR="0099114A">
        <w:rPr>
          <w:color w:val="000000"/>
        </w:rPr>
        <w:t xml:space="preserve">“ </w:t>
      </w:r>
      <w:r w:rsidRPr="008C4672">
        <w:rPr>
          <w:bCs/>
        </w:rPr>
        <w:t xml:space="preserve"> i članka 86. Zakona o proračunu ( Narodne novine broj 144/21.) Upravno vijeće </w:t>
      </w:r>
      <w:r w:rsidR="0099114A" w:rsidRPr="00995F69">
        <w:rPr>
          <w:color w:val="000000"/>
        </w:rPr>
        <w:t>Dječj</w:t>
      </w:r>
      <w:r w:rsidR="0099114A">
        <w:rPr>
          <w:color w:val="000000"/>
        </w:rPr>
        <w:t>eg</w:t>
      </w:r>
      <w:r w:rsidR="0099114A" w:rsidRPr="00995F69">
        <w:rPr>
          <w:color w:val="000000"/>
        </w:rPr>
        <w:t xml:space="preserve"> vrtić</w:t>
      </w:r>
      <w:r w:rsidR="0099114A">
        <w:rPr>
          <w:color w:val="000000"/>
        </w:rPr>
        <w:t>a</w:t>
      </w:r>
      <w:r w:rsidR="0099114A" w:rsidRPr="00995F69">
        <w:rPr>
          <w:color w:val="000000"/>
        </w:rPr>
        <w:t xml:space="preserve"> </w:t>
      </w:r>
      <w:r w:rsidR="0099114A">
        <w:rPr>
          <w:color w:val="000000"/>
        </w:rPr>
        <w:t>„</w:t>
      </w:r>
      <w:r w:rsidR="0099114A" w:rsidRPr="00995F69">
        <w:rPr>
          <w:color w:val="000000"/>
        </w:rPr>
        <w:t>Vrtuljak Marčana</w:t>
      </w:r>
      <w:r w:rsidR="0099114A">
        <w:rPr>
          <w:color w:val="000000"/>
        </w:rPr>
        <w:t xml:space="preserve">“ </w:t>
      </w:r>
      <w:r w:rsidR="0099114A" w:rsidRPr="008C4672">
        <w:rPr>
          <w:bCs/>
        </w:rPr>
        <w:t xml:space="preserve"> </w:t>
      </w:r>
      <w:r w:rsidRPr="008C4672">
        <w:rPr>
          <w:bCs/>
        </w:rPr>
        <w:t xml:space="preserve"> na svojoj</w:t>
      </w:r>
      <w:r w:rsidR="00FB4298">
        <w:rPr>
          <w:bCs/>
        </w:rPr>
        <w:t xml:space="preserve"> </w:t>
      </w:r>
      <w:r w:rsidRPr="008C4672">
        <w:rPr>
          <w:bCs/>
        </w:rPr>
        <w:t xml:space="preserve"> sjednici održanoj dana </w:t>
      </w:r>
      <w:r w:rsidR="009B6B5E">
        <w:rPr>
          <w:bCs/>
        </w:rPr>
        <w:t>04. veljače 2025.</w:t>
      </w:r>
      <w:r w:rsidRPr="008C4672">
        <w:rPr>
          <w:bCs/>
        </w:rPr>
        <w:t xml:space="preserve"> godine,  donijelo je:  </w:t>
      </w:r>
    </w:p>
    <w:p w:rsidR="005D2AB9" w:rsidRDefault="005D2AB9"/>
    <w:p w:rsidR="0099114A" w:rsidRDefault="0099114A"/>
    <w:p w:rsidR="0099114A" w:rsidRDefault="0099114A">
      <w:pPr>
        <w:rPr>
          <w:b/>
        </w:rPr>
      </w:pPr>
      <w:r w:rsidRPr="0099114A">
        <w:rPr>
          <w:b/>
        </w:rPr>
        <w:t>GODIŠNJI IZVJEŠTAJ O IZVRŠENJU FINANCIJSKOG PLANA ZA 202</w:t>
      </w:r>
      <w:r w:rsidR="00EC3A9B">
        <w:rPr>
          <w:b/>
        </w:rPr>
        <w:t>4</w:t>
      </w:r>
      <w:r w:rsidRPr="0099114A">
        <w:rPr>
          <w:b/>
        </w:rPr>
        <w:t>. GODINU</w:t>
      </w:r>
    </w:p>
    <w:p w:rsidR="0099114A" w:rsidRDefault="0099114A">
      <w:pPr>
        <w:rPr>
          <w:b/>
        </w:rPr>
      </w:pPr>
    </w:p>
    <w:p w:rsidR="00FB4298" w:rsidRPr="0014142B" w:rsidRDefault="00FB4298" w:rsidP="00FB4298">
      <w:pPr>
        <w:pStyle w:val="Tijeloteksta"/>
        <w:jc w:val="center"/>
        <w:rPr>
          <w:rFonts w:ascii="Times New Roman" w:hAnsi="Times New Roman" w:cs="Times New Roman"/>
          <w:b/>
          <w:szCs w:val="24"/>
        </w:rPr>
      </w:pPr>
      <w:r w:rsidRPr="0014142B">
        <w:rPr>
          <w:rFonts w:ascii="Times New Roman" w:hAnsi="Times New Roman" w:cs="Times New Roman"/>
          <w:b/>
          <w:szCs w:val="24"/>
        </w:rPr>
        <w:t>Članak 1.</w:t>
      </w:r>
      <w:r w:rsidRPr="0014142B">
        <w:rPr>
          <w:rFonts w:ascii="Times New Roman" w:hAnsi="Times New Roman" w:cs="Times New Roman"/>
        </w:rPr>
        <w:tab/>
      </w:r>
    </w:p>
    <w:p w:rsidR="00FB4298" w:rsidRPr="0014142B" w:rsidRDefault="00FB4298" w:rsidP="00FB4298">
      <w:pPr>
        <w:jc w:val="both"/>
      </w:pPr>
      <w:r w:rsidRPr="0014142B">
        <w:t xml:space="preserve">          Utvrđuje se </w:t>
      </w:r>
      <w:r>
        <w:t>izvještaj o izvršenju financijskog plana  za 202</w:t>
      </w:r>
      <w:r w:rsidR="00EC3A9B">
        <w:t>4</w:t>
      </w:r>
      <w:r w:rsidRPr="0014142B">
        <w:t>. godinu kako slijedi:</w:t>
      </w:r>
    </w:p>
    <w:p w:rsidR="00FB4298" w:rsidRPr="0014142B" w:rsidRDefault="00FB4298" w:rsidP="00FB4298">
      <w:pPr>
        <w:jc w:val="both"/>
        <w:rPr>
          <w:b/>
        </w:rPr>
      </w:pPr>
    </w:p>
    <w:tbl>
      <w:tblPr>
        <w:tblW w:w="10155" w:type="dxa"/>
        <w:tblInd w:w="-318" w:type="dxa"/>
        <w:tblLook w:val="04A0" w:firstRow="1" w:lastRow="0" w:firstColumn="1" w:lastColumn="0" w:noHBand="0" w:noVBand="1"/>
      </w:tblPr>
      <w:tblGrid>
        <w:gridCol w:w="10155"/>
      </w:tblGrid>
      <w:tr w:rsidR="00FB4298" w:rsidRPr="00EA2960" w:rsidTr="00FB4298">
        <w:trPr>
          <w:trHeight w:val="558"/>
        </w:trPr>
        <w:tc>
          <w:tcPr>
            <w:tcW w:w="10155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FB4298" w:rsidRPr="00EA2960" w:rsidRDefault="00FB4298" w:rsidP="00FB4298">
            <w:pPr>
              <w:jc w:val="both"/>
              <w:rPr>
                <w:b/>
                <w:bCs/>
                <w:color w:val="000000"/>
              </w:rPr>
            </w:pPr>
            <w:r w:rsidRPr="00EA2960">
              <w:rPr>
                <w:b/>
                <w:bCs/>
                <w:color w:val="000000"/>
              </w:rPr>
              <w:t>Tablica 1.: Sažetak A. Računa prihoda i rashoda i B. Računa financiranja</w:t>
            </w:r>
          </w:p>
        </w:tc>
      </w:tr>
    </w:tbl>
    <w:p w:rsidR="0099114A" w:rsidRDefault="0099114A">
      <w:pPr>
        <w:rPr>
          <w:b/>
        </w:rPr>
      </w:pPr>
    </w:p>
    <w:tbl>
      <w:tblPr>
        <w:tblW w:w="11420" w:type="dxa"/>
        <w:jc w:val="center"/>
        <w:tblLook w:val="04A0" w:firstRow="1" w:lastRow="0" w:firstColumn="1" w:lastColumn="0" w:noHBand="0" w:noVBand="1"/>
      </w:tblPr>
      <w:tblGrid>
        <w:gridCol w:w="4120"/>
        <w:gridCol w:w="1460"/>
        <w:gridCol w:w="1420"/>
        <w:gridCol w:w="1360"/>
        <w:gridCol w:w="1220"/>
        <w:gridCol w:w="1020"/>
        <w:gridCol w:w="827"/>
      </w:tblGrid>
      <w:tr w:rsidR="00EC3A9B" w:rsidRPr="00EC3A9B" w:rsidTr="00EC3A9B">
        <w:trPr>
          <w:trHeight w:val="585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Izvršenje 2023.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Izvorni plan 2024.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Tekući plan 2024.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Indeks  4/1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Indeks  4/3</w:t>
            </w:r>
          </w:p>
        </w:tc>
      </w:tr>
      <w:tr w:rsidR="00EC3A9B" w:rsidRPr="00EC3A9B" w:rsidTr="00EC3A9B">
        <w:trPr>
          <w:trHeight w:val="255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A. RAČUN PRIHODA I RASHODA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</w:t>
            </w:r>
          </w:p>
        </w:tc>
      </w:tr>
      <w:tr w:rsidR="00EC3A9B" w:rsidRPr="00EC3A9B" w:rsidTr="00EC3A9B">
        <w:trPr>
          <w:trHeight w:val="255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6 Prihodi poslovanja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465.061,06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591.930,00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675.212,00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643.095,03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138,28%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95,24%</w:t>
            </w:r>
          </w:p>
        </w:tc>
      </w:tr>
      <w:tr w:rsidR="00EC3A9B" w:rsidRPr="00EC3A9B" w:rsidTr="00EC3A9B">
        <w:trPr>
          <w:trHeight w:val="148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7 Prihodi od prodaje nefinancijske imovine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UKUPNI PRIHODI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465.061,06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591.930,00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675.212,00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643.095,03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138,28%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95,24%</w:t>
            </w:r>
          </w:p>
        </w:tc>
      </w:tr>
      <w:tr w:rsidR="00EC3A9B" w:rsidRPr="00EC3A9B" w:rsidTr="00EC3A9B">
        <w:trPr>
          <w:trHeight w:val="255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463.866,22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579.930,00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673.608,62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641.888,18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138,38%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95,29%</w:t>
            </w:r>
          </w:p>
        </w:tc>
      </w:tr>
      <w:tr w:rsidR="00EC3A9B" w:rsidRPr="00EC3A9B" w:rsidTr="00EC3A9B">
        <w:trPr>
          <w:trHeight w:val="255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977,19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1.462,50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149,66%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73,13%</w:t>
            </w:r>
          </w:p>
        </w:tc>
      </w:tr>
      <w:tr w:rsidR="00EC3A9B" w:rsidRPr="00EC3A9B" w:rsidTr="00EC3A9B">
        <w:trPr>
          <w:trHeight w:val="255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UKUPNI RASHODI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464.843,41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591.930,00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675.608,62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643.350,68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138,40%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95,23%</w:t>
            </w:r>
          </w:p>
        </w:tc>
      </w:tr>
      <w:tr w:rsidR="00EC3A9B" w:rsidRPr="00EC3A9B" w:rsidTr="00EC3A9B">
        <w:trPr>
          <w:trHeight w:val="255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VIŠAK / MANJAK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217,65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-396,62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-255,65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-117,46%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64,46%</w:t>
            </w:r>
          </w:p>
        </w:tc>
      </w:tr>
      <w:tr w:rsidR="00EC3A9B" w:rsidRPr="00EC3A9B" w:rsidTr="00EC3A9B">
        <w:trPr>
          <w:trHeight w:val="285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B. RAČUN ZADUŽIVANJA / FINANCIRANJA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8 Primici od financijske imovine i zaduživanja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5 Izdaci za financijsku imovinu i otplate zajmova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NETO ZADUŽIVANJE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C3A9B" w:rsidRPr="00EC3A9B" w:rsidTr="00EC3A9B">
        <w:trPr>
          <w:trHeight w:val="540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UKUPNI DONOS VIŠKA / MANJKA IZ PRETHODNE(IH) GODINA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178,97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A1096E" w:rsidP="00EC3A9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396,62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651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VIŠAK / MANJAK IZ PRETHODNE(IH) GODINE KOJI ĆE SE POKRITI / RASPOREDITI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178,97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396,62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C3A9B" w:rsidRPr="00EC3A9B" w:rsidTr="00EC3A9B">
        <w:trPr>
          <w:trHeight w:val="621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VIŠAK / MANJAK + NETO ZADUŽIVANJE / FINANCIRANJE + KORIŠTENO U PRETHODNIM GODINAMA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REZULTAT GODINE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396,62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A1096E" w:rsidP="00EC3A9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140,97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-117,46%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</w:tbl>
    <w:p w:rsidR="003B0BA6" w:rsidRDefault="003B0BA6">
      <w:pPr>
        <w:rPr>
          <w:b/>
        </w:rPr>
        <w:sectPr w:rsidR="003B0BA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82922" w:rsidRPr="00424ADB" w:rsidRDefault="00782922" w:rsidP="00782922">
      <w:pPr>
        <w:pStyle w:val="Tijelotek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18"/>
          <w:szCs w:val="18"/>
        </w:rPr>
      </w:pPr>
      <w:r w:rsidRPr="00424ADB">
        <w:rPr>
          <w:rFonts w:ascii="Times New Roman" w:hAnsi="Times New Roman" w:cs="Times New Roman"/>
          <w:b/>
          <w:sz w:val="18"/>
          <w:szCs w:val="18"/>
        </w:rPr>
        <w:lastRenderedPageBreak/>
        <w:t>RAČUN PRIHODA I RASHODA</w:t>
      </w:r>
    </w:p>
    <w:p w:rsidR="00782922" w:rsidRPr="00424ADB" w:rsidRDefault="00782922" w:rsidP="00782922">
      <w:pPr>
        <w:pStyle w:val="Tijeloteksta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24ADB">
        <w:rPr>
          <w:rFonts w:ascii="Times New Roman" w:hAnsi="Times New Roman" w:cs="Times New Roman"/>
          <w:b/>
          <w:sz w:val="18"/>
          <w:szCs w:val="18"/>
        </w:rPr>
        <w:t>Račun prihoda i rashoda prema ekonomskoj klasifikaciji</w:t>
      </w:r>
    </w:p>
    <w:p w:rsidR="00782922" w:rsidRPr="00424ADB" w:rsidRDefault="00782922" w:rsidP="00782922">
      <w:pPr>
        <w:rPr>
          <w:b/>
          <w:sz w:val="18"/>
          <w:szCs w:val="18"/>
        </w:rPr>
      </w:pPr>
    </w:p>
    <w:tbl>
      <w:tblPr>
        <w:tblW w:w="14860" w:type="dxa"/>
        <w:tblInd w:w="93" w:type="dxa"/>
        <w:tblLook w:val="04A0" w:firstRow="1" w:lastRow="0" w:firstColumn="1" w:lastColumn="0" w:noHBand="0" w:noVBand="1"/>
      </w:tblPr>
      <w:tblGrid>
        <w:gridCol w:w="7580"/>
        <w:gridCol w:w="1200"/>
        <w:gridCol w:w="1180"/>
        <w:gridCol w:w="1500"/>
        <w:gridCol w:w="1340"/>
        <w:gridCol w:w="1240"/>
        <w:gridCol w:w="927"/>
      </w:tblGrid>
      <w:tr w:rsidR="00EC3A9B" w:rsidRPr="00EC3A9B" w:rsidTr="00EC3A9B">
        <w:trPr>
          <w:trHeight w:val="49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Izvršenje 2023.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Izvorni plan 2024.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Tekući plan 2024.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Indeks  4/1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Indeks  4/3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A. RAČUN PRIHODA I RASHODA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6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 Prihodi poslovanja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465.061,06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591.930,00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675.212,00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643.095,03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138,28%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95,24%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63 Pomoći iz inozemstva i od subjekata unutar općeg proračuna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8.051,71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7.184,00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8.027,00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8.273,03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102,75%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103,07%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636 Pomoći proračunskim korisnicima iz proračuna koji im nije nadležan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7.376,98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8.273,03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112,15%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6361 Tekuće pomoći proračunskim korisnicima iz proračuna koji im nije nadležan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7.376,98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8.273,03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112,15%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638 Pomoći iz državnog proračuna temeljem prijenosa EU sredstava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674,73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6381 Tekuće pomoći iz državnog proračuna temeljem prijenosa EU sredstava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674,73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65 Prihodi od upravnih i administrativnih pristojbi, pristojbi po posebnim propisima i naknada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76.257,14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100.257,00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101.825,00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92.043,39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120,70%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90,39%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652 Prihodi po posebnim propisima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76.257,14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92.043,39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120,70%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6526 Ostali nespomenuti prihodi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76.257,14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92.043,39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120,70%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66 Prihodi od prodaje proizvoda i robe te pruženih usluga i prihodi od donacija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7.316,83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30.550,00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29.260,00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28.957,80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395,77%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98,97%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661 Prihodi od prodaje proizvoda i robe te pruženih usluga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7.316,83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28.957,80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395,77%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 xml:space="preserve">6615 Prihodi od pruženih usluga                                                                        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7.316,83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28.957,80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395,77%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67 Prihodi iz nadležnog proračuna i od HZZO-a temeljem ugovornih obveza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373.435,38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453.939,00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536.100,00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513.820,81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137,59%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95,84%</w:t>
            </w:r>
          </w:p>
        </w:tc>
      </w:tr>
      <w:tr w:rsidR="00EC3A9B" w:rsidRPr="00EC3A9B" w:rsidTr="00EC3A9B">
        <w:trPr>
          <w:trHeight w:val="480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671 Prihodi iz nadležnog proračuna za financiranje redovne djelatnosti proračunskih korisnika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373.435,38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513.820,81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137,59%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6711 Prihodi iz nadležnog proračuna za financiranje rashoda poslovanja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373.435,38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513.820,81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137,59%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463.866,22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579.930,00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673.608,62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641.888,18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138,38%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95,29%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333.680,45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377.267,50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472.088,65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470.169,62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140,90%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99,59%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311 Plaće (Bruto)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261.120,14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363.288,39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139,13%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3111 Plaće za redovan rad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260.733,87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363.288,39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139,33%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3113 Plaće za prekovremeni rad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386,27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312 Ostali rashodi za zaposlene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29.475,41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46.938,54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159,25%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3121 Ostali rashodi za zaposlene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29.475,41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46.938,54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159,25%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313 Doprinosi na plaće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43.084,90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59.942,69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139,13%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3132 Doprinosi za obvezno zdravstveno osiguranje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43.084,90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59.942,69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139,13%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123.964,67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195.804,50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192.834,97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160.657,11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129,60%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83,31%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321 Naknade troškova zaposlenima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22.617,60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25.457,46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112,56%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3211 Službena putovanja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2.037,59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1.137,40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55,82%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lastRenderedPageBreak/>
              <w:t>3212 Naknade za prijevoz, za rad na terenu i odvojeni život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17.533,31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18.817,13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107,32%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3213 Stručno usavršavanje zaposlenika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1.405,86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2.384,40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169,60%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3214 Ostale naknade troškova zaposlenima                                                               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1.640,84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3.118,53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190,06%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322 Rashodi za materijal i energiju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70.165,18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92.772,21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132,22%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3221 Uredski materijal i ostali materijalni rashodi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11.950,56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11.370,90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95,15%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3222 Materijal i sirovine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50.605,86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59.669,36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117,91%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3223 Energija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1.442,15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1.365,51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94,69%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3225 Sitni inventar i auto gume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6.091,95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19.440,44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319,12%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3227 Službena, radna i zaštitna odjeća i obuća                                                         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74,66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926,00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1240,29%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323 Rashodi za usluge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28.802,46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33.642,61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116,80%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3231 Usluge telefona, pošte i prijevoza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5.058,05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5.706,60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112,82%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2.410,99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5.322,41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220,76%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3233 Usluge promidžbe i informiranja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921,88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1.750,00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189,83%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3234 Komunalne usluge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876,61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974,54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111,17%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3235 Zakupnine i najamnine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3.537,50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2.950,00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83,39%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3236 Zdravstvene i veterinarske usluge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5.859,72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2.966,03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50,62%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3237 Intelektualne i osobne usluge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1.067,34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1.449,28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135,78%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3238 Računalne usluge                                                                                  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522,10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826,75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158,35%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3239 Ostale usluge                                                                                     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8.548,27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11.697,00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136,83%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329 Ostali nespomenuti rashodi poslovanja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2.379,43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8.784,83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369,20%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3291 Naknade za rad predstavničkih i izvršnih tijela, povjerenstava i slično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227,18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598,18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263,31%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3292 Premije osiguranja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698,37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670,39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95,99%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3293 Reprezentacija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1.405,73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2.487,49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176,95%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3295 Pristojbe i naknade                                                                               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33,18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4.915,97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14816,06%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3299 Ostali nespomenuti rashodi poslovanja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14,97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112,80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753,51%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546,37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458,00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885,00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727,76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133,20%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82,23%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343 Ostali financijski rashodi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546,37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727,76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133,20%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3431 Bankarske usluge i usluge platnog prometa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546,37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604,06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110,56%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3433 Zatezne kamate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123,70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 Pomoći dane u inozemstvo i unutar općeg proračuna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674,73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363 Pomoći unutar općeg proračuna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674,73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3631 Tekuće pomoći unutar općeg proračuna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674,73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6.400,00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7.800,00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10.333,69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206,67%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132,48%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372 Ostale naknade građanima i kućanstvima iz proračuna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10.333,69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206,67%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lastRenderedPageBreak/>
              <w:t>3722 Naknade građanima i kućanstvima u naravi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10.333,69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206,67%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977,19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1.462,50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149,66%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73,13%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977,19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1.462,50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149,66%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73,13%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422 Postrojenja i oprema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645,94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1.462,50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226,41%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4221 Uredska oprema i namještaj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1.462,50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4227 Uređaji, strojevi i oprema za ostale namjene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645,94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426 Nematerijalna proizvedena imovina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331,25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C3A9B" w:rsidRPr="00EC3A9B" w:rsidTr="00EC3A9B">
        <w:trPr>
          <w:trHeight w:val="25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4262 Ulaganja u računalne programe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331,25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9B" w:rsidRPr="00EC3A9B" w:rsidRDefault="00EC3A9B" w:rsidP="00EC3A9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C3A9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</w:tbl>
    <w:p w:rsidR="00782922" w:rsidRDefault="00782922" w:rsidP="00782922">
      <w:pPr>
        <w:rPr>
          <w:b/>
          <w:sz w:val="18"/>
          <w:szCs w:val="18"/>
        </w:rPr>
      </w:pPr>
    </w:p>
    <w:p w:rsidR="00EC3A9B" w:rsidRPr="00424ADB" w:rsidRDefault="00EC3A9B" w:rsidP="00782922">
      <w:pPr>
        <w:rPr>
          <w:b/>
          <w:sz w:val="18"/>
          <w:szCs w:val="18"/>
        </w:rPr>
      </w:pPr>
    </w:p>
    <w:p w:rsidR="00782922" w:rsidRPr="00424ADB" w:rsidRDefault="00782922" w:rsidP="00782922">
      <w:pPr>
        <w:rPr>
          <w:b/>
          <w:sz w:val="18"/>
          <w:szCs w:val="18"/>
        </w:rPr>
      </w:pPr>
      <w:r w:rsidRPr="00424ADB">
        <w:rPr>
          <w:b/>
          <w:sz w:val="18"/>
          <w:szCs w:val="18"/>
        </w:rPr>
        <w:t>Račun prihoda i rashoda prema izvorima financiranja</w:t>
      </w:r>
    </w:p>
    <w:tbl>
      <w:tblPr>
        <w:tblW w:w="13460" w:type="dxa"/>
        <w:tblInd w:w="93" w:type="dxa"/>
        <w:tblLook w:val="04A0" w:firstRow="1" w:lastRow="0" w:firstColumn="1" w:lastColumn="0" w:noHBand="0" w:noVBand="1"/>
      </w:tblPr>
      <w:tblGrid>
        <w:gridCol w:w="6720"/>
        <w:gridCol w:w="1280"/>
        <w:gridCol w:w="1180"/>
        <w:gridCol w:w="1180"/>
        <w:gridCol w:w="1180"/>
        <w:gridCol w:w="1027"/>
        <w:gridCol w:w="960"/>
      </w:tblGrid>
      <w:tr w:rsidR="0094050F" w:rsidRPr="0094050F" w:rsidTr="0094050F">
        <w:trPr>
          <w:trHeight w:val="75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Izvršenje 2023.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Izvorni plan 2024.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Tekući plan 2024.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Indeks  4/1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Indeks  4/3</w:t>
            </w:r>
          </w:p>
        </w:tc>
      </w:tr>
      <w:tr w:rsidR="0094050F" w:rsidRPr="0094050F" w:rsidTr="0094050F">
        <w:trPr>
          <w:trHeight w:val="255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PRIHODI I RASHODI PREMA IZVORIMA FINANCIRANJA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</w:t>
            </w:r>
          </w:p>
        </w:tc>
      </w:tr>
      <w:tr w:rsidR="0094050F" w:rsidRPr="0094050F" w:rsidTr="0094050F">
        <w:trPr>
          <w:trHeight w:val="24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SVEUKUPNI PRIHODI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465.061,06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591.930,00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675.212,00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643.095,03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138,28%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95,24%</w:t>
            </w:r>
          </w:p>
        </w:tc>
      </w:tr>
      <w:tr w:rsidR="0094050F" w:rsidRPr="0094050F" w:rsidTr="0094050F">
        <w:trPr>
          <w:trHeight w:val="255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373.435,38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453.939,00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536.100,00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513.820,81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137,59%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95,84%</w:t>
            </w:r>
          </w:p>
        </w:tc>
      </w:tr>
      <w:tr w:rsidR="0094050F" w:rsidRPr="0094050F" w:rsidTr="0094050F">
        <w:trPr>
          <w:trHeight w:val="255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Izvor 1.1. OPĆI PRIHODI  I PRIMICI   OPĆINA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365.206,38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423.450,00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504.847,00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479.074,81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131,18%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94,90%</w:t>
            </w:r>
          </w:p>
        </w:tc>
      </w:tr>
      <w:tr w:rsidR="0094050F" w:rsidRPr="0094050F" w:rsidTr="0094050F">
        <w:trPr>
          <w:trHeight w:val="255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Izvor 1.5. SREDSTVA ZA FISKALNU ODRŽIVOST DV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8.229,00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30.489,00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31.253,00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34.746,00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422,24%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111,18%</w:t>
            </w:r>
          </w:p>
        </w:tc>
      </w:tr>
      <w:tr w:rsidR="0094050F" w:rsidRPr="0094050F" w:rsidTr="0094050F">
        <w:trPr>
          <w:trHeight w:val="255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3. VLASTITI  PRIHODI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7.316,83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30.400,00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28.960,00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28.957,80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395,77%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</w:t>
            </w:r>
            <w:proofErr w:type="spellStart"/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</w:t>
            </w:r>
            <w:proofErr w:type="spellEnd"/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</w:tr>
      <w:tr w:rsidR="0094050F" w:rsidRPr="0094050F" w:rsidTr="0094050F">
        <w:trPr>
          <w:trHeight w:val="255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Izvor 3.3. VLASTITI PRIHODI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1.878,43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30.400,00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28.960,00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28.957,80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1541,60%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99,</w:t>
            </w:r>
            <w:proofErr w:type="spellStart"/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99</w:t>
            </w:r>
            <w:proofErr w:type="spellEnd"/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%</w:t>
            </w:r>
          </w:p>
        </w:tc>
      </w:tr>
      <w:tr w:rsidR="0094050F" w:rsidRPr="0094050F" w:rsidTr="0094050F">
        <w:trPr>
          <w:trHeight w:val="255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Izvor 3.5. USLUGA PRIPREME I DOSTAVE OBROKA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5.438,40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94050F" w:rsidRPr="0094050F" w:rsidTr="0094050F">
        <w:trPr>
          <w:trHeight w:val="255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76.257,14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100.257,00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101.825,00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92.043,39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120,70%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90,39%</w:t>
            </w:r>
          </w:p>
        </w:tc>
      </w:tr>
      <w:tr w:rsidR="0094050F" w:rsidRPr="0094050F" w:rsidTr="0094050F">
        <w:trPr>
          <w:trHeight w:val="255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Izvor 4.5. PRIHODI ZA POSEBNE NAMJENE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76.257,14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100.257,00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101.825,00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92.043,39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120,70%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90,39%</w:t>
            </w:r>
          </w:p>
        </w:tc>
      </w:tr>
      <w:tr w:rsidR="0094050F" w:rsidRPr="0094050F" w:rsidTr="0094050F">
        <w:trPr>
          <w:trHeight w:val="255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8.051,71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7.184,00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8.027,00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8.273,03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102,75%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103,07%</w:t>
            </w:r>
          </w:p>
        </w:tc>
      </w:tr>
      <w:tr w:rsidR="0094050F" w:rsidRPr="0094050F" w:rsidTr="0094050F">
        <w:trPr>
          <w:trHeight w:val="255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 xml:space="preserve">Izvor 5.1. </w:t>
            </w:r>
            <w:proofErr w:type="spellStart"/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TEK.POMOĆI</w:t>
            </w:r>
            <w:proofErr w:type="spellEnd"/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 xml:space="preserve"> DRŽAVNI PRORAČUN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518,40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520,00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1.977,00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1.791,60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345,60%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90,62%</w:t>
            </w:r>
          </w:p>
        </w:tc>
      </w:tr>
      <w:tr w:rsidR="0094050F" w:rsidRPr="0094050F" w:rsidTr="0094050F">
        <w:trPr>
          <w:trHeight w:val="255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Izvor 5.3. KAPITALNE POMOĆI SREDSTVA EU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674,73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94050F" w:rsidRPr="0094050F" w:rsidTr="0094050F">
        <w:trPr>
          <w:trHeight w:val="255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Izvor 5.4. TEKUĆA POMOĆI IZ PRORAČUNA JLP(R)S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6.858,58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6.664,00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6.050,00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6.481,43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94,50%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107,13%</w:t>
            </w:r>
          </w:p>
        </w:tc>
      </w:tr>
      <w:tr w:rsidR="0094050F" w:rsidRPr="0094050F" w:rsidTr="0094050F">
        <w:trPr>
          <w:trHeight w:val="255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6. DONACIJE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94050F" w:rsidRPr="0094050F" w:rsidTr="0094050F">
        <w:trPr>
          <w:trHeight w:val="255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Izvor 6.1. DONACIJE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150,00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94050F" w:rsidRPr="0094050F" w:rsidTr="0094050F">
        <w:trPr>
          <w:trHeight w:val="255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SVEUKUPNI RASHODI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464.843,41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591.930,00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675.608,62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643.350,68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138,40%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95,23%</w:t>
            </w:r>
          </w:p>
        </w:tc>
      </w:tr>
      <w:tr w:rsidR="0094050F" w:rsidRPr="0094050F" w:rsidTr="0094050F">
        <w:trPr>
          <w:trHeight w:val="255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373.435,38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453.939,00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536.100,00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513.820,81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137,59%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95,84%</w:t>
            </w:r>
          </w:p>
        </w:tc>
      </w:tr>
      <w:tr w:rsidR="0094050F" w:rsidRPr="0094050F" w:rsidTr="0094050F">
        <w:trPr>
          <w:trHeight w:val="255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Izvor 1.1. OPĆI PRIHODI  I PRIMICI   OPĆINA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365.206,38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423.450,00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504.847,00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479.074,81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131,18%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94,90%</w:t>
            </w:r>
          </w:p>
        </w:tc>
      </w:tr>
      <w:tr w:rsidR="0094050F" w:rsidRPr="0094050F" w:rsidTr="0094050F">
        <w:trPr>
          <w:trHeight w:val="255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Izvor 1.5. SREDSTVA ZA FISKALNU ODRŽIVOST DV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8.229,00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30.489,00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31.253,00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34.746,00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422,24%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111,18%</w:t>
            </w:r>
          </w:p>
        </w:tc>
      </w:tr>
      <w:tr w:rsidR="0094050F" w:rsidRPr="0094050F" w:rsidTr="0094050F">
        <w:trPr>
          <w:trHeight w:val="255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3. VLASTITI  PRIHODI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7.316,84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30.400,00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28.960,00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28.816,83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393,84%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99,51%</w:t>
            </w:r>
          </w:p>
        </w:tc>
      </w:tr>
      <w:tr w:rsidR="0094050F" w:rsidRPr="0094050F" w:rsidTr="0094050F">
        <w:trPr>
          <w:trHeight w:val="255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lastRenderedPageBreak/>
              <w:t>Izvor 3.3. VLASTITI PRIHODI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1.878,44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30.400,00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28.960,00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28.816,83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1534,08%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99,51%</w:t>
            </w:r>
          </w:p>
        </w:tc>
      </w:tr>
      <w:tr w:rsidR="0094050F" w:rsidRPr="0094050F" w:rsidTr="0094050F">
        <w:trPr>
          <w:trHeight w:val="255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Izvor 3.5. USLUGA PRIPREME I DOSTAVE OBROKA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5.438,40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94050F" w:rsidRPr="0094050F" w:rsidTr="0094050F">
        <w:trPr>
          <w:trHeight w:val="255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75.860,51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100.257,00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101.825,00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92.043,39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121,33%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90,39%</w:t>
            </w:r>
          </w:p>
        </w:tc>
      </w:tr>
      <w:tr w:rsidR="0094050F" w:rsidRPr="0094050F" w:rsidTr="0094050F">
        <w:trPr>
          <w:trHeight w:val="255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Izvor 4.5. PRIHODI ZA POSEBNE NAMJENE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75.860,51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100.257,00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101.825,00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92.043,39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121,33%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90,39%</w:t>
            </w:r>
          </w:p>
        </w:tc>
      </w:tr>
      <w:tr w:rsidR="0094050F" w:rsidRPr="0094050F" w:rsidTr="0094050F">
        <w:trPr>
          <w:trHeight w:val="255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8.051,71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7.184,00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8.027,00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8.273,03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102,75%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103,07%</w:t>
            </w:r>
          </w:p>
        </w:tc>
      </w:tr>
      <w:tr w:rsidR="0094050F" w:rsidRPr="0094050F" w:rsidTr="0094050F">
        <w:trPr>
          <w:trHeight w:val="255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 xml:space="preserve">Izvor 5.1. </w:t>
            </w:r>
            <w:proofErr w:type="spellStart"/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TEK.POMOĆI</w:t>
            </w:r>
            <w:proofErr w:type="spellEnd"/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 xml:space="preserve"> DRŽAVNI PRORAČUN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518,40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520,00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1.977,00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1.791,60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345,60%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90,62%</w:t>
            </w:r>
          </w:p>
        </w:tc>
      </w:tr>
      <w:tr w:rsidR="0094050F" w:rsidRPr="0094050F" w:rsidTr="0094050F">
        <w:trPr>
          <w:trHeight w:val="255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Izvor 5.3. KAPITALNE POMOĆI SREDSTVA EU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674,73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94050F" w:rsidRPr="0094050F" w:rsidTr="0094050F">
        <w:trPr>
          <w:trHeight w:val="255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Izvor 5.4. TEKUĆA POMOĆI IZ PRORAČUNA JLP(R)S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6.858,58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6.664,00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6.050,00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6.481,43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94,50%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107,13%</w:t>
            </w:r>
          </w:p>
        </w:tc>
      </w:tr>
      <w:tr w:rsidR="0094050F" w:rsidRPr="0094050F" w:rsidTr="0094050F">
        <w:trPr>
          <w:trHeight w:val="255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6. DONACIJE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94050F" w:rsidRPr="0094050F" w:rsidTr="0094050F">
        <w:trPr>
          <w:trHeight w:val="255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Izvor 6.1. DONACIJE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150,00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94050F" w:rsidRPr="0094050F" w:rsidTr="0094050F">
        <w:trPr>
          <w:trHeight w:val="255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9. Višak prihoda prethodne godine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178,97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396,62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396,62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221,61%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94050F" w:rsidRPr="0094050F" w:rsidTr="0094050F">
        <w:trPr>
          <w:trHeight w:val="255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Izvor 9.4. Višak prethodne godine namjenski prihodi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178,97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396,62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396,62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221,61%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100,00%</w:t>
            </w:r>
          </w:p>
        </w:tc>
      </w:tr>
    </w:tbl>
    <w:p w:rsidR="00782922" w:rsidRDefault="00782922" w:rsidP="00782922">
      <w:pPr>
        <w:rPr>
          <w:b/>
        </w:rPr>
      </w:pPr>
    </w:p>
    <w:p w:rsidR="00782922" w:rsidRDefault="00782922" w:rsidP="00782922">
      <w:pPr>
        <w:rPr>
          <w:b/>
        </w:rPr>
      </w:pPr>
      <w:r>
        <w:rPr>
          <w:b/>
        </w:rPr>
        <w:t>Rashodi prema funkcijskoj klasifikaciji</w:t>
      </w:r>
    </w:p>
    <w:p w:rsidR="00782922" w:rsidRDefault="00782922" w:rsidP="00782922">
      <w:pPr>
        <w:rPr>
          <w:b/>
        </w:rPr>
      </w:pPr>
    </w:p>
    <w:tbl>
      <w:tblPr>
        <w:tblW w:w="13780" w:type="dxa"/>
        <w:tblInd w:w="93" w:type="dxa"/>
        <w:tblLook w:val="04A0" w:firstRow="1" w:lastRow="0" w:firstColumn="1" w:lastColumn="0" w:noHBand="0" w:noVBand="1"/>
      </w:tblPr>
      <w:tblGrid>
        <w:gridCol w:w="7240"/>
        <w:gridCol w:w="1180"/>
        <w:gridCol w:w="1180"/>
        <w:gridCol w:w="1140"/>
        <w:gridCol w:w="1120"/>
        <w:gridCol w:w="960"/>
        <w:gridCol w:w="960"/>
      </w:tblGrid>
      <w:tr w:rsidR="0094050F" w:rsidRPr="0094050F" w:rsidTr="0094050F">
        <w:trPr>
          <w:trHeight w:val="63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Račun/Opis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Izvršenje 2023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Izvorni plan 2024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Tekući plan 2024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Izvršenje 2024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Indeks 4/1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Indeks 4/3</w:t>
            </w:r>
          </w:p>
        </w:tc>
      </w:tr>
      <w:tr w:rsidR="0094050F" w:rsidRPr="0094050F" w:rsidTr="0094050F">
        <w:trPr>
          <w:trHeight w:val="25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</w:t>
            </w:r>
          </w:p>
        </w:tc>
      </w:tr>
      <w:tr w:rsidR="0094050F" w:rsidRPr="0094050F" w:rsidTr="0094050F">
        <w:trPr>
          <w:trHeight w:val="25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Funkcijska klasifikacija  SVEUKUPNI RASHODI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464.843,41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591.930,00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675.608,62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643.350,68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138,40%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95,23%</w:t>
            </w:r>
          </w:p>
        </w:tc>
      </w:tr>
      <w:tr w:rsidR="0094050F" w:rsidRPr="0094050F" w:rsidTr="0094050F">
        <w:trPr>
          <w:trHeight w:val="25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09 Obrazovanje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464.843,41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591.930,00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675.608,62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643.350,68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138,40%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95,23%</w:t>
            </w:r>
          </w:p>
        </w:tc>
      </w:tr>
      <w:tr w:rsidR="0094050F" w:rsidRPr="0094050F" w:rsidTr="0094050F">
        <w:trPr>
          <w:trHeight w:val="40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Cs/>
                <w:color w:val="000000"/>
                <w:sz w:val="18"/>
                <w:szCs w:val="18"/>
                <w:lang w:eastAsia="hr-HR"/>
              </w:rPr>
              <w:t>Funkcijska klasifikacija 091 Predškolsko i osnovno obrazovanje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Cs/>
                <w:color w:val="000000"/>
                <w:sz w:val="18"/>
                <w:szCs w:val="18"/>
                <w:lang w:eastAsia="hr-HR"/>
              </w:rPr>
              <w:t>459.405,01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Cs/>
                <w:color w:val="000000"/>
                <w:sz w:val="18"/>
                <w:szCs w:val="18"/>
                <w:lang w:eastAsia="hr-HR"/>
              </w:rPr>
              <w:t>562.960,00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Cs/>
                <w:color w:val="000000"/>
                <w:sz w:val="18"/>
                <w:szCs w:val="18"/>
                <w:lang w:eastAsia="hr-HR"/>
              </w:rPr>
              <w:t>653.883,06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Cs/>
                <w:color w:val="000000"/>
                <w:sz w:val="18"/>
                <w:szCs w:val="18"/>
                <w:lang w:eastAsia="hr-HR"/>
              </w:rPr>
              <w:t>622.253,34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Cs/>
                <w:color w:val="000000"/>
                <w:sz w:val="18"/>
                <w:szCs w:val="18"/>
                <w:lang w:eastAsia="hr-HR"/>
              </w:rPr>
              <w:t>135,45%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Cs/>
                <w:color w:val="000000"/>
                <w:sz w:val="18"/>
                <w:szCs w:val="18"/>
                <w:lang w:eastAsia="hr-HR"/>
              </w:rPr>
              <w:t>95,16%</w:t>
            </w:r>
          </w:p>
        </w:tc>
      </w:tr>
      <w:tr w:rsidR="0094050F" w:rsidRPr="0094050F" w:rsidTr="0094050F">
        <w:trPr>
          <w:trHeight w:val="33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Cs/>
                <w:color w:val="000000"/>
                <w:sz w:val="18"/>
                <w:szCs w:val="18"/>
                <w:lang w:eastAsia="hr-HR"/>
              </w:rPr>
              <w:t>Funkcijska klasifikacija 096 Dodatne usluge u obrazovanju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Cs/>
                <w:color w:val="000000"/>
                <w:sz w:val="18"/>
                <w:szCs w:val="18"/>
                <w:lang w:eastAsia="hr-HR"/>
              </w:rPr>
              <w:t>5.438,40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Cs/>
                <w:color w:val="000000"/>
                <w:sz w:val="18"/>
                <w:szCs w:val="18"/>
                <w:lang w:eastAsia="hr-HR"/>
              </w:rPr>
              <w:t>28.970,00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Cs/>
                <w:color w:val="000000"/>
                <w:sz w:val="18"/>
                <w:szCs w:val="18"/>
                <w:lang w:eastAsia="hr-HR"/>
              </w:rPr>
              <w:t>21.725,56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Cs/>
                <w:color w:val="000000"/>
                <w:sz w:val="18"/>
                <w:szCs w:val="18"/>
                <w:lang w:eastAsia="hr-HR"/>
              </w:rPr>
              <w:t>21.097,34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Cs/>
                <w:color w:val="000000"/>
                <w:sz w:val="18"/>
                <w:szCs w:val="18"/>
                <w:lang w:eastAsia="hr-HR"/>
              </w:rPr>
              <w:t>387,93%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Cs/>
                <w:color w:val="000000"/>
                <w:sz w:val="18"/>
                <w:szCs w:val="18"/>
                <w:lang w:eastAsia="hr-HR"/>
              </w:rPr>
              <w:t>97,11%</w:t>
            </w:r>
          </w:p>
        </w:tc>
      </w:tr>
    </w:tbl>
    <w:p w:rsidR="00782922" w:rsidRDefault="00782922" w:rsidP="00782922">
      <w:pPr>
        <w:rPr>
          <w:b/>
        </w:rPr>
      </w:pPr>
    </w:p>
    <w:p w:rsidR="0094050F" w:rsidRDefault="0094050F" w:rsidP="00782922">
      <w:pPr>
        <w:rPr>
          <w:b/>
        </w:rPr>
      </w:pPr>
    </w:p>
    <w:p w:rsidR="00782922" w:rsidRDefault="00782922" w:rsidP="00782922">
      <w:pPr>
        <w:rPr>
          <w:b/>
        </w:rPr>
      </w:pPr>
    </w:p>
    <w:p w:rsidR="00782922" w:rsidRPr="007F24B6" w:rsidRDefault="00782922" w:rsidP="0078292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F24B6">
        <w:rPr>
          <w:rFonts w:ascii="Times New Roman" w:hAnsi="Times New Roman" w:cs="Times New Roman"/>
          <w:b/>
          <w:sz w:val="24"/>
          <w:szCs w:val="24"/>
        </w:rPr>
        <w:t>RAČUN ZADUŽIVANJA / FINANCIRANJA</w:t>
      </w:r>
    </w:p>
    <w:p w:rsidR="00782922" w:rsidRPr="007F24B6" w:rsidRDefault="00782922" w:rsidP="00782922">
      <w:pPr>
        <w:rPr>
          <w:b/>
        </w:rPr>
      </w:pPr>
    </w:p>
    <w:p w:rsidR="00782922" w:rsidRDefault="00782922" w:rsidP="00782922">
      <w:pPr>
        <w:rPr>
          <w:b/>
        </w:rPr>
      </w:pPr>
      <w:r>
        <w:rPr>
          <w:b/>
        </w:rPr>
        <w:t>Račun financiranja prema ekonomskoj klasifikaciji</w:t>
      </w:r>
    </w:p>
    <w:p w:rsidR="00782922" w:rsidRDefault="00782922" w:rsidP="00782922">
      <w:pPr>
        <w:rPr>
          <w:b/>
        </w:rPr>
      </w:pPr>
    </w:p>
    <w:p w:rsidR="00782922" w:rsidRPr="007F24B6" w:rsidRDefault="00782922" w:rsidP="00782922">
      <w:r w:rsidRPr="007F24B6">
        <w:t xml:space="preserve">Dječji vrtić Vrtuljak Marčana u izvještajnom razdoblju, kao i u izvještajnom razdoblju prethodne godine,  nije ostvario primitke ni izdatke </w:t>
      </w:r>
      <w:r>
        <w:t>od zaduživanja.</w:t>
      </w:r>
    </w:p>
    <w:p w:rsidR="00782922" w:rsidRDefault="00782922" w:rsidP="00782922"/>
    <w:p w:rsidR="00782922" w:rsidRDefault="00782922" w:rsidP="00782922">
      <w:pPr>
        <w:pStyle w:val="Tijeloteksta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 xml:space="preserve">II. POSEBNI DIO </w:t>
      </w:r>
    </w:p>
    <w:p w:rsidR="00782922" w:rsidRDefault="00782922" w:rsidP="00782922">
      <w:pPr>
        <w:pStyle w:val="Tijeloteksta"/>
        <w:jc w:val="both"/>
        <w:rPr>
          <w:rFonts w:ascii="Times New Roman" w:hAnsi="Times New Roman" w:cs="Times New Roman"/>
          <w:b/>
          <w:szCs w:val="24"/>
        </w:rPr>
      </w:pPr>
    </w:p>
    <w:p w:rsidR="00782922" w:rsidRPr="0014142B" w:rsidRDefault="00782922" w:rsidP="00782922">
      <w:pPr>
        <w:pStyle w:val="Tijeloteksta"/>
        <w:jc w:val="center"/>
        <w:rPr>
          <w:rFonts w:ascii="Times New Roman" w:hAnsi="Times New Roman" w:cs="Times New Roman"/>
          <w:b/>
          <w:szCs w:val="24"/>
        </w:rPr>
      </w:pPr>
      <w:r w:rsidRPr="0014142B">
        <w:rPr>
          <w:rFonts w:ascii="Times New Roman" w:hAnsi="Times New Roman" w:cs="Times New Roman"/>
          <w:b/>
          <w:szCs w:val="24"/>
        </w:rPr>
        <w:t>Članak 2.</w:t>
      </w:r>
    </w:p>
    <w:p w:rsidR="00782922" w:rsidRPr="0014142B" w:rsidRDefault="00782922" w:rsidP="00782922">
      <w:pPr>
        <w:tabs>
          <w:tab w:val="left" w:pos="5025"/>
        </w:tabs>
      </w:pPr>
      <w:r w:rsidRPr="0014142B">
        <w:tab/>
      </w:r>
    </w:p>
    <w:p w:rsidR="00782922" w:rsidRDefault="00782922" w:rsidP="00782922">
      <w:pPr>
        <w:jc w:val="both"/>
      </w:pPr>
      <w:r>
        <w:t xml:space="preserve">        Posebni dio Godišnjeg izvještaja o izvršenju financijskog plana  za 2023. godinu po programskoj, ekonomskoj klasifikaciji i izvorima financiranja:</w:t>
      </w:r>
    </w:p>
    <w:p w:rsidR="00782922" w:rsidRDefault="00782922">
      <w:pPr>
        <w:rPr>
          <w:b/>
        </w:rPr>
      </w:pPr>
    </w:p>
    <w:tbl>
      <w:tblPr>
        <w:tblW w:w="12985" w:type="dxa"/>
        <w:tblInd w:w="93" w:type="dxa"/>
        <w:tblLook w:val="04A0" w:firstRow="1" w:lastRow="0" w:firstColumn="1" w:lastColumn="0" w:noHBand="0" w:noVBand="1"/>
      </w:tblPr>
      <w:tblGrid>
        <w:gridCol w:w="1220"/>
        <w:gridCol w:w="947"/>
        <w:gridCol w:w="7010"/>
        <w:gridCol w:w="1117"/>
        <w:gridCol w:w="1117"/>
        <w:gridCol w:w="1117"/>
        <w:gridCol w:w="927"/>
      </w:tblGrid>
      <w:tr w:rsidR="0094050F" w:rsidRPr="0094050F" w:rsidTr="0094050F">
        <w:trPr>
          <w:trHeight w:val="255"/>
        </w:trPr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Funkcijska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Organizacijska klasifikacija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Izvorni plan 2024.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Tekući plan 2024.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Izvršenje  2024.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Indeks 3/2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Izvori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94050F" w:rsidRPr="0094050F" w:rsidTr="0094050F">
        <w:trPr>
          <w:trHeight w:val="285"/>
        </w:trPr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Projekt/Aktivnost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94050F" w:rsidRPr="0094050F" w:rsidTr="0094050F">
        <w:trPr>
          <w:trHeight w:val="25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VRSTA RASHODA I IZDATAKA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UKUPNO RASHODI I IZDATCI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591.930,00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675.608,62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643.350,68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95,23%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RAZDJEL 001 RASHODI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591.930,00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675.608,62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643.350,68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95,23%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453.939,00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536.100,00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513.820,81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95,84%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 I PRIMICI   OPĆINA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423.450,00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504.847,00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479.074,81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94,90%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1.5. SREDSTVA ZA FISKALNU ODRŽIVOST DV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30.489,00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31.253,00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34.746,00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111,18%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 VLASTITI  PRIHODI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30.400,00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28.960,00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28.816,83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99,51%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3.3. VLASTITI PRIHODI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30.400,00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28.960,00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28.816,83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99,51%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100.257,00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101.825,00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92.043,39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90,39%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4.5. PRIHODI ZA POSEBNE NAMJENE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100.257,00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101.825,00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92.043,39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90,39%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7.184,00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8.027,00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8.273,03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103,07%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Izvor 5.1. </w:t>
            </w:r>
            <w:proofErr w:type="spellStart"/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TEK.POMOĆI</w:t>
            </w:r>
            <w:proofErr w:type="spellEnd"/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DRŽAVNI PRORAČUN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520,00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1.977,00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1.791,60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90,62%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5.4. TEKUĆA POMOĆI IZ PRORAČUNA JLP(R)S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6.664,00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6.050,00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6.481,43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107,13%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6. DONACIJE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6.1. DONACIJE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9. Višak prihoda prethodne godine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396,62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396,62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9.4. Višak prethodne godine namjenski prihodi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396,62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396,62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1000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Program: Redovna djelatnost dječjeg vrtića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591.930,00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675.608,62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643.350,68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95,23%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A100001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Odgojno i administrativno-tehničko osoblje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549.633,00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639.438,06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605.295,08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94,66%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446.039,00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525.800,00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502.823,24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95,63%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 I PRIMICI   OPĆINA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415.550,00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494.547,00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468.077,24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94,65%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354.550,00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436.775,00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429.826,97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98,41%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329.140,23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46.378,54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54.308,20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61.000,00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57.772,00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38.250,27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66,21%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Naknade za prijevoz, za rad na terenu i odvojeni život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18.817,13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1.064,00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5.291,56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Sitni inventar i auto gume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6.226,91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203,06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829,54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2.701,50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32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3291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598,18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3292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Premije osiguranja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670,39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3295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1.848,00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1.5. SREDSTVA ZA FISKALNU ODRŽIVOST DV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30.489,00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31.253,00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34.746,00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111,18%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20.387,50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29.715,65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34.746,00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116,93%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29.824,85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4.921,15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10.101,50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1.537,35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 VLASTITI  PRIHODI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7.553,44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7.552,09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99,98%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3.3. VLASTITI PRIHODI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7.553,44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7.552,09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99,98%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4.878,00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4.876,65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99,97%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3.705,28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560,00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611,37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2.675,44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2.675,44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3295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2.675,44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97.444,00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98.850,00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87.617,30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88,64%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4.5. PRIHODI ZA POSEBNE NAMJENE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97.444,00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98.850,00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87.617,30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88,64%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84.986,00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95.965,00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85.427,04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89,02%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1.137,40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1.320,40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3214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3.118,53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4.864,43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Materijal i sirovine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32.730,45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853,85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Sitni inventar i auto gume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13.213,53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3227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926,00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Usluge telefona, pošte i prijevoza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5.431,60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5.119,35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145,00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3236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Zdravstvene i veterinarske usluge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2.966,03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1.449,28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3238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826,75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8.331,62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2.487,49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3295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392,53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112,80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458,00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885,00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727,76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82,23%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3431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Bankarske usluge i usluge platnog prometa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604,06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3433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Zatezne kamate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123,70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1.462,50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73,13%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Uredska oprema i namještaj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1.462,50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6.538,00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6.905,83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105,63%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Izvor 5.1. </w:t>
            </w:r>
            <w:proofErr w:type="spellStart"/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TEK.POMOĆI</w:t>
            </w:r>
            <w:proofErr w:type="spellEnd"/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DRŽAVNI PRORAČUN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1.488,00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1.424,40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95,73%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1.488,00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1.424,40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95,73%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Materijal i sirovine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1.424,40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5.4. TEKUĆA POMOĆI IZ PRORAČUNA JLP(R)S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5.050,00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5.481,43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108,54%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5.050,00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5.481,43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108,54%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Materijal i sirovine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5.481,43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6. DONACIJE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6.1. DONACIJE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9. Višak prihoda prethodne godine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396,62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396,62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9.4. Višak prethodne godine namjenski prihodi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396,62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396,62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396,62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396,62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396,62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0960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A100003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Aktivnost: Program provođenja </w:t>
            </w:r>
            <w:proofErr w:type="spellStart"/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predškole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1.070,00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1.039,00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552,60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53,19%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550,00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550,00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185,40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33,71%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4.5. PRIHODI ZA POSEBNE NAMJENE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550,00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550,00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185,40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33,71%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550,00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550,00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185,40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33,71%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185,40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520,00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489,00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367,20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75,09%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Izvor 5.1. </w:t>
            </w:r>
            <w:proofErr w:type="spellStart"/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TEK.POMOĆI</w:t>
            </w:r>
            <w:proofErr w:type="spellEnd"/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DRŽAVNI PRORAČUN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520,00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489,00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367,20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75,09%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520,00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489,00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367,20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75,09%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367,20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A100005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Aktivnost: Božićno darivanje </w:t>
            </w:r>
            <w:proofErr w:type="spellStart"/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predsškolske</w:t>
            </w:r>
            <w:proofErr w:type="spellEnd"/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djece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9.713,00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12.250,00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14.101,70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115,12%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7.900,00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10.300,00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10.997,57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106,77%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 I PRIMICI   OPĆINA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7.900,00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10.300,00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10.997,57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106,77%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663,88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26,56%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663,88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6.400,00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7.800,00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10.333,69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132,48%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3722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Naknade građanima i kućanstvima u naravi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10.333,69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1.813,00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1.950,00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3.104,13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159,19%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4.5. PRIHODI ZA POSEBNE NAMJENE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1.813,00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1.950,00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3.104,13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159,19%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1.813,00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1.950,00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3.104,13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159,19%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104,13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Zakupnine i najamnine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2.950,00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A100006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Provođenje programa zavičajne nastave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1.114,00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1.475,00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2.136,56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144,85%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450,00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475,00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1.136,56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239,28%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4.5. PRIHODI ZA POSEBNE NAMJENE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450,00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475,00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1.136,56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239,28%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475,00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1.136,56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239,28%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161,56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Usluge telefona, pošte i prijevoza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275,00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664,00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5.4. TEKUĆA POMOĆI IZ PRORAČUNA JLP(R)S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664,00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664,00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A100007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Učenje stranog jezika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720,00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720,00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 VLASTITI  PRIHODI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720,00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720,00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3.3. VLASTITI PRIHODI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720,00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720,00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2.330,00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720,00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720,00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618,03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101,97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0960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A100009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Priprema obroka za vanjske korisnike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27.900,00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20.686,56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20.544,74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99,31%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 VLASTITI  PRIHODI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27.900,00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20.686,56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20.544,74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99,31%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3.3. VLASTITI PRIHODI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27.900,00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20.686,56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20.544,74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99,31%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27.900,00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20.686,56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20.544,74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99,31%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Materijal i sirovine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20.033,08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94050F" w:rsidRPr="0094050F" w:rsidTr="0094050F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511,66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0F" w:rsidRPr="0094050F" w:rsidRDefault="0094050F" w:rsidP="009405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94050F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</w:tbl>
    <w:p w:rsidR="0094050F" w:rsidRDefault="0094050F">
      <w:pPr>
        <w:rPr>
          <w:b/>
        </w:rPr>
        <w:sectPr w:rsidR="0094050F" w:rsidSect="003B0BA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782922" w:rsidRDefault="00782922" w:rsidP="00782922">
      <w:pPr>
        <w:pStyle w:val="Tijeloteksta"/>
        <w:jc w:val="center"/>
        <w:rPr>
          <w:rFonts w:ascii="Times New Roman" w:hAnsi="Times New Roman" w:cs="Times New Roman"/>
          <w:b/>
          <w:szCs w:val="24"/>
        </w:rPr>
      </w:pPr>
      <w:r w:rsidRPr="00270756">
        <w:rPr>
          <w:rFonts w:ascii="Times New Roman" w:hAnsi="Times New Roman" w:cs="Times New Roman"/>
          <w:b/>
          <w:szCs w:val="24"/>
        </w:rPr>
        <w:lastRenderedPageBreak/>
        <w:t xml:space="preserve">Članak </w:t>
      </w:r>
      <w:r>
        <w:rPr>
          <w:rFonts w:ascii="Times New Roman" w:hAnsi="Times New Roman" w:cs="Times New Roman"/>
          <w:b/>
          <w:szCs w:val="24"/>
        </w:rPr>
        <w:t>3.</w:t>
      </w:r>
    </w:p>
    <w:p w:rsidR="00782922" w:rsidRDefault="00782922" w:rsidP="00782922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1E24">
        <w:rPr>
          <w:rFonts w:ascii="Times New Roman" w:hAnsi="Times New Roman" w:cs="Times New Roman"/>
          <w:sz w:val="24"/>
          <w:szCs w:val="24"/>
        </w:rPr>
        <w:t>Sastavni dio ovog izvještaja su i</w:t>
      </w:r>
    </w:p>
    <w:p w:rsidR="00782922" w:rsidRDefault="00782922" w:rsidP="00782922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Obrasci financijskih izvještaja proračunskog korisnika (PR-RAS, Bilanca, </w:t>
      </w:r>
      <w:proofErr w:type="spellStart"/>
      <w:r>
        <w:rPr>
          <w:rFonts w:ascii="Times New Roman" w:hAnsi="Times New Roman" w:cs="Times New Roman"/>
          <w:sz w:val="24"/>
          <w:szCs w:val="24"/>
        </w:rPr>
        <w:t>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-funkcijski, P-vrio i Obveze), te </w:t>
      </w:r>
    </w:p>
    <w:p w:rsidR="00782922" w:rsidRPr="00270756" w:rsidRDefault="00782922" w:rsidP="00782922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70756">
        <w:rPr>
          <w:rFonts w:ascii="Times New Roman" w:hAnsi="Times New Roman" w:cs="Times New Roman"/>
          <w:sz w:val="24"/>
          <w:szCs w:val="24"/>
        </w:rPr>
        <w:t>Obrazloženje ostvarenja prihoda i primitaka, rashoda i izdataka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82922" w:rsidRDefault="00782922" w:rsidP="00782922">
      <w:pPr>
        <w:pStyle w:val="Tijeloteksta"/>
        <w:jc w:val="center"/>
        <w:rPr>
          <w:b/>
          <w:bCs/>
        </w:rPr>
      </w:pPr>
      <w:r>
        <w:rPr>
          <w:b/>
          <w:bCs/>
        </w:rPr>
        <w:t xml:space="preserve">         </w:t>
      </w:r>
    </w:p>
    <w:p w:rsidR="00782922" w:rsidRPr="00270756" w:rsidRDefault="00782922" w:rsidP="00782922">
      <w:pPr>
        <w:pStyle w:val="Tijeloteksta"/>
        <w:jc w:val="center"/>
        <w:rPr>
          <w:rFonts w:ascii="Times New Roman" w:hAnsi="Times New Roman" w:cs="Times New Roman"/>
          <w:b/>
          <w:szCs w:val="24"/>
        </w:rPr>
      </w:pPr>
      <w:r w:rsidRPr="00270756">
        <w:rPr>
          <w:rFonts w:ascii="Times New Roman" w:hAnsi="Times New Roman" w:cs="Times New Roman"/>
          <w:b/>
          <w:szCs w:val="24"/>
        </w:rPr>
        <w:t xml:space="preserve">Članak </w:t>
      </w:r>
      <w:r>
        <w:rPr>
          <w:rFonts w:ascii="Times New Roman" w:hAnsi="Times New Roman" w:cs="Times New Roman"/>
          <w:b/>
          <w:szCs w:val="24"/>
        </w:rPr>
        <w:t>4</w:t>
      </w:r>
      <w:r w:rsidRPr="00270756">
        <w:rPr>
          <w:rFonts w:ascii="Times New Roman" w:hAnsi="Times New Roman" w:cs="Times New Roman"/>
          <w:b/>
          <w:szCs w:val="24"/>
        </w:rPr>
        <w:t>.</w:t>
      </w:r>
    </w:p>
    <w:p w:rsidR="00782922" w:rsidRPr="00270756" w:rsidRDefault="00782922" w:rsidP="00782922">
      <w:pPr>
        <w:pStyle w:val="Tijeloteksta"/>
        <w:ind w:firstLine="720"/>
        <w:jc w:val="center"/>
        <w:rPr>
          <w:rFonts w:ascii="Times New Roman" w:hAnsi="Times New Roman" w:cs="Times New Roman"/>
          <w:b/>
          <w:szCs w:val="24"/>
        </w:rPr>
      </w:pPr>
    </w:p>
    <w:p w:rsidR="00782922" w:rsidRPr="00270756" w:rsidRDefault="00782922" w:rsidP="00782922">
      <w:pPr>
        <w:jc w:val="both"/>
        <w:rPr>
          <w:b/>
        </w:rPr>
      </w:pPr>
      <w:r w:rsidRPr="00270756">
        <w:t xml:space="preserve">          Godišnji izvještaj o izvršenju </w:t>
      </w:r>
      <w:r>
        <w:t>financijskog plana</w:t>
      </w:r>
      <w:r w:rsidRPr="00270756">
        <w:t xml:space="preserve"> za 202</w:t>
      </w:r>
      <w:r w:rsidR="00A1096E">
        <w:t>4</w:t>
      </w:r>
      <w:r w:rsidRPr="00270756">
        <w:t xml:space="preserve">. </w:t>
      </w:r>
      <w:r>
        <w:t>g</w:t>
      </w:r>
      <w:r w:rsidRPr="00270756">
        <w:t xml:space="preserve">odinu objavit će se na internetskim stranicama </w:t>
      </w:r>
      <w:r>
        <w:t>Dječjeg vrtića „Vrtuljak -Marčana</w:t>
      </w:r>
      <w:r w:rsidRPr="00270756">
        <w:t>”.</w:t>
      </w:r>
    </w:p>
    <w:p w:rsidR="00782922" w:rsidRPr="00270756" w:rsidRDefault="00782922" w:rsidP="00782922">
      <w:pPr>
        <w:jc w:val="both"/>
      </w:pPr>
    </w:p>
    <w:p w:rsidR="00782922" w:rsidRPr="00270756" w:rsidRDefault="00782922" w:rsidP="00782922">
      <w:pPr>
        <w:jc w:val="center"/>
        <w:rPr>
          <w:sz w:val="12"/>
          <w:szCs w:val="12"/>
        </w:rPr>
      </w:pPr>
    </w:p>
    <w:p w:rsidR="00782922" w:rsidRPr="00270756" w:rsidRDefault="00782922" w:rsidP="00782922">
      <w:pPr>
        <w:jc w:val="both"/>
      </w:pPr>
      <w:r>
        <w:t xml:space="preserve">KLASA: </w:t>
      </w:r>
      <w:r w:rsidR="000371D3">
        <w:t>400-04/2</w:t>
      </w:r>
      <w:r w:rsidR="009B6B5E">
        <w:t>5</w:t>
      </w:r>
      <w:r w:rsidR="000371D3">
        <w:t>-01/</w:t>
      </w:r>
      <w:proofErr w:type="spellStart"/>
      <w:r w:rsidR="000371D3">
        <w:t>01</w:t>
      </w:r>
      <w:proofErr w:type="spellEnd"/>
    </w:p>
    <w:p w:rsidR="00782922" w:rsidRPr="00270756" w:rsidRDefault="00782922" w:rsidP="00782922">
      <w:pPr>
        <w:jc w:val="both"/>
      </w:pPr>
      <w:r>
        <w:t xml:space="preserve">URBROJ: </w:t>
      </w:r>
      <w:r w:rsidR="000371D3">
        <w:t>2163-26-54-28-2</w:t>
      </w:r>
      <w:r w:rsidR="009B6B5E">
        <w:t>5</w:t>
      </w:r>
      <w:r w:rsidR="000371D3">
        <w:t>-01</w:t>
      </w:r>
    </w:p>
    <w:p w:rsidR="00782922" w:rsidRPr="005010D1" w:rsidRDefault="00782922" w:rsidP="00782922">
      <w:pPr>
        <w:jc w:val="both"/>
      </w:pPr>
      <w:r w:rsidRPr="00270756">
        <w:t xml:space="preserve">Marčana, </w:t>
      </w:r>
      <w:r w:rsidR="009B6B5E">
        <w:t>04. veljače</w:t>
      </w:r>
      <w:r w:rsidR="000371D3">
        <w:t xml:space="preserve"> </w:t>
      </w:r>
      <w:r>
        <w:t>202</w:t>
      </w:r>
      <w:r w:rsidR="00A1096E">
        <w:t>5</w:t>
      </w:r>
      <w:r>
        <w:t>.</w:t>
      </w:r>
    </w:p>
    <w:p w:rsidR="00782922" w:rsidRDefault="00782922" w:rsidP="00782922">
      <w:pPr>
        <w:rPr>
          <w:b/>
        </w:rPr>
      </w:pPr>
      <w:r>
        <w:rPr>
          <w:b/>
        </w:rPr>
        <w:t xml:space="preserve">                                                                      PREDSJEDNIK UPRAVNOG VIJEĆA</w:t>
      </w:r>
    </w:p>
    <w:p w:rsidR="00782922" w:rsidRPr="0099114A" w:rsidRDefault="00A1096E" w:rsidP="009B6B5E">
      <w:pPr>
        <w:tabs>
          <w:tab w:val="left" w:pos="5722"/>
        </w:tabs>
        <w:rPr>
          <w:b/>
        </w:rPr>
      </w:pPr>
      <w:r>
        <w:rPr>
          <w:b/>
        </w:rPr>
        <w:t xml:space="preserve"> </w:t>
      </w:r>
      <w:r w:rsidR="009B6B5E">
        <w:rPr>
          <w:b/>
        </w:rPr>
        <w:tab/>
        <w:t>Ljiljana Miloš, v.r.</w:t>
      </w:r>
      <w:bookmarkStart w:id="0" w:name="_GoBack"/>
      <w:bookmarkEnd w:id="0"/>
    </w:p>
    <w:p w:rsidR="00782922" w:rsidRDefault="009B6B5E" w:rsidP="00782922">
      <w:pPr>
        <w:tabs>
          <w:tab w:val="left" w:pos="5895"/>
        </w:tabs>
        <w:rPr>
          <w:b/>
          <w:bCs/>
        </w:rPr>
      </w:pPr>
      <w:r>
        <w:rPr>
          <w:b/>
          <w:bCs/>
        </w:rPr>
        <w:t xml:space="preserve"> </w:t>
      </w:r>
    </w:p>
    <w:p w:rsidR="00782922" w:rsidRDefault="00782922" w:rsidP="00782922">
      <w:pPr>
        <w:tabs>
          <w:tab w:val="left" w:pos="5895"/>
        </w:tabs>
        <w:rPr>
          <w:b/>
          <w:bCs/>
        </w:rPr>
      </w:pPr>
    </w:p>
    <w:p w:rsidR="00782922" w:rsidRDefault="00782922" w:rsidP="00782922">
      <w:pPr>
        <w:tabs>
          <w:tab w:val="left" w:pos="5895"/>
        </w:tabs>
        <w:rPr>
          <w:b/>
          <w:bCs/>
        </w:rPr>
      </w:pPr>
      <w:r>
        <w:rPr>
          <w:b/>
          <w:bCs/>
        </w:rPr>
        <w:t>I. Ostvarenje financijskog plana  za 202</w:t>
      </w:r>
      <w:r w:rsidR="00A1096E">
        <w:rPr>
          <w:b/>
          <w:bCs/>
        </w:rPr>
        <w:t>4</w:t>
      </w:r>
      <w:r>
        <w:rPr>
          <w:b/>
          <w:bCs/>
        </w:rPr>
        <w:t>. godinu</w:t>
      </w:r>
    </w:p>
    <w:p w:rsidR="00782922" w:rsidRDefault="00782922" w:rsidP="00782922">
      <w:pPr>
        <w:tabs>
          <w:tab w:val="left" w:pos="5895"/>
        </w:tabs>
        <w:jc w:val="center"/>
        <w:rPr>
          <w:b/>
          <w:bCs/>
        </w:rPr>
      </w:pPr>
    </w:p>
    <w:p w:rsidR="00782922" w:rsidRDefault="00782922" w:rsidP="00782922">
      <w:pPr>
        <w:tabs>
          <w:tab w:val="left" w:pos="5895"/>
        </w:tabs>
        <w:jc w:val="both"/>
        <w:rPr>
          <w:bCs/>
        </w:rPr>
      </w:pPr>
      <w:r>
        <w:rPr>
          <w:bCs/>
        </w:rPr>
        <w:t xml:space="preserve">           Dječji vrtić Vrtuljak Marčana ostvario je financijski plan u okviru planiranih  sredstava. Najveći udio ostvarenja prihoda čine prihodi iz proračuna Općine Marčana za financiranje redovne djelatnosti (plaće za zaposlene i materijalne rashode</w:t>
      </w:r>
      <w:r w:rsidR="00A1096E">
        <w:rPr>
          <w:bCs/>
        </w:rPr>
        <w:t>).</w:t>
      </w:r>
    </w:p>
    <w:p w:rsidR="00782922" w:rsidRDefault="00782922" w:rsidP="00782922">
      <w:pPr>
        <w:tabs>
          <w:tab w:val="left" w:pos="5895"/>
        </w:tabs>
        <w:jc w:val="both"/>
        <w:rPr>
          <w:b/>
          <w:bCs/>
        </w:rPr>
      </w:pPr>
    </w:p>
    <w:tbl>
      <w:tblPr>
        <w:tblW w:w="11420" w:type="dxa"/>
        <w:jc w:val="center"/>
        <w:tblLook w:val="04A0" w:firstRow="1" w:lastRow="0" w:firstColumn="1" w:lastColumn="0" w:noHBand="0" w:noVBand="1"/>
      </w:tblPr>
      <w:tblGrid>
        <w:gridCol w:w="4120"/>
        <w:gridCol w:w="1460"/>
        <w:gridCol w:w="1420"/>
        <w:gridCol w:w="1360"/>
        <w:gridCol w:w="1220"/>
        <w:gridCol w:w="1020"/>
        <w:gridCol w:w="827"/>
      </w:tblGrid>
      <w:tr w:rsidR="00A1096E" w:rsidRPr="00A1096E" w:rsidTr="00A1096E">
        <w:trPr>
          <w:trHeight w:val="585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center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center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Izvršenje 2023.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center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Izvorni plan 2024.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center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Tekući plan 2024.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center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center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Indeks  4/1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center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Indeks  4/3</w:t>
            </w:r>
          </w:p>
        </w:tc>
      </w:tr>
      <w:tr w:rsidR="00A1096E" w:rsidRPr="00A1096E" w:rsidTr="00A1096E">
        <w:trPr>
          <w:trHeight w:val="255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rPr>
                <w:rFonts w:ascii="Arial" w:hAnsi="Arial" w:cs="Arial"/>
                <w:bCs/>
                <w:color w:val="FFFFFF"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color w:val="FFFFFF"/>
                <w:sz w:val="18"/>
                <w:szCs w:val="18"/>
                <w:lang w:eastAsia="hr-HR"/>
              </w:rPr>
              <w:t>A. RAČUN PRIHODA I RASHODA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center"/>
              <w:rPr>
                <w:rFonts w:ascii="Arial" w:hAnsi="Arial" w:cs="Arial"/>
                <w:bCs/>
                <w:color w:val="FFFFFF"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color w:val="FFFFFF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center"/>
              <w:rPr>
                <w:rFonts w:ascii="Arial" w:hAnsi="Arial" w:cs="Arial"/>
                <w:bCs/>
                <w:color w:val="FFFFFF"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color w:val="FFFFFF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center"/>
              <w:rPr>
                <w:rFonts w:ascii="Arial" w:hAnsi="Arial" w:cs="Arial"/>
                <w:bCs/>
                <w:color w:val="FFFFFF"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center"/>
              <w:rPr>
                <w:rFonts w:ascii="Arial" w:hAnsi="Arial" w:cs="Arial"/>
                <w:bCs/>
                <w:color w:val="FFFFFF"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center"/>
              <w:rPr>
                <w:rFonts w:ascii="Arial" w:hAnsi="Arial" w:cs="Arial"/>
                <w:bCs/>
                <w:color w:val="FFFFFF"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color w:val="FFFFFF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center"/>
              <w:rPr>
                <w:rFonts w:ascii="Arial" w:hAnsi="Arial" w:cs="Arial"/>
                <w:bCs/>
                <w:color w:val="FFFFFF"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color w:val="FFFFFF"/>
                <w:sz w:val="18"/>
                <w:szCs w:val="18"/>
                <w:lang w:eastAsia="hr-HR"/>
              </w:rPr>
              <w:t>6</w:t>
            </w:r>
          </w:p>
        </w:tc>
      </w:tr>
      <w:tr w:rsidR="00A1096E" w:rsidRPr="00A1096E" w:rsidTr="00A1096E">
        <w:trPr>
          <w:trHeight w:val="255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96E" w:rsidRPr="00A1096E" w:rsidRDefault="00A1096E" w:rsidP="00A1096E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6 Prihodi poslovanja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465.061,06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591.930,00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675.212,00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643.095,03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138,28%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95,24%</w:t>
            </w:r>
          </w:p>
        </w:tc>
      </w:tr>
      <w:tr w:rsidR="00A1096E" w:rsidRPr="00A1096E" w:rsidTr="00A1096E">
        <w:trPr>
          <w:trHeight w:val="189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96E" w:rsidRPr="00A1096E" w:rsidRDefault="00A1096E" w:rsidP="00A1096E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7 Prihodi od prodaje nefinancijske imovine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A1096E" w:rsidRPr="00A1096E" w:rsidTr="00A1096E">
        <w:trPr>
          <w:trHeight w:val="255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 xml:space="preserve"> UKUPNI PRIHODI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465.061,06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591.930,00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675.212,00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643.095,03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138,28%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95,24%</w:t>
            </w:r>
          </w:p>
        </w:tc>
      </w:tr>
      <w:tr w:rsidR="00A1096E" w:rsidRPr="00A1096E" w:rsidTr="00A1096E">
        <w:trPr>
          <w:trHeight w:val="255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463.866,22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579.930,00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673.608,62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641.888,18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138,38%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95,29%</w:t>
            </w:r>
          </w:p>
        </w:tc>
      </w:tr>
      <w:tr w:rsidR="00A1096E" w:rsidRPr="00A1096E" w:rsidTr="00A1096E">
        <w:trPr>
          <w:trHeight w:val="255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96E" w:rsidRPr="00A1096E" w:rsidRDefault="00A1096E" w:rsidP="00A1096E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977,19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1.462,50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149,66%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73,13%</w:t>
            </w:r>
          </w:p>
        </w:tc>
      </w:tr>
      <w:tr w:rsidR="00A1096E" w:rsidRPr="00A1096E" w:rsidTr="00A1096E">
        <w:trPr>
          <w:trHeight w:val="255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 xml:space="preserve"> UKUPNI RASHODI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464.843,41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591.930,00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675.608,62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643.350,68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138,40%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95,23%</w:t>
            </w:r>
          </w:p>
        </w:tc>
      </w:tr>
      <w:tr w:rsidR="00A1096E" w:rsidRPr="00A1096E" w:rsidTr="00A1096E">
        <w:trPr>
          <w:trHeight w:val="255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 xml:space="preserve"> VIŠAK / MANJAK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217,65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-396,62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-255,65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-117,46%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64,46%</w:t>
            </w:r>
          </w:p>
        </w:tc>
      </w:tr>
      <w:tr w:rsidR="00A1096E" w:rsidRPr="00A1096E" w:rsidTr="00A1096E">
        <w:trPr>
          <w:trHeight w:val="285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A1096E" w:rsidRPr="00A1096E" w:rsidRDefault="00A1096E" w:rsidP="00A1096E">
            <w:pPr>
              <w:suppressAutoHyphens w:val="0"/>
              <w:rPr>
                <w:rFonts w:ascii="Arial" w:hAnsi="Arial" w:cs="Arial"/>
                <w:bCs/>
                <w:color w:val="FFFFFF"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color w:val="FFFFFF"/>
                <w:sz w:val="18"/>
                <w:szCs w:val="18"/>
                <w:lang w:eastAsia="hr-HR"/>
              </w:rPr>
              <w:t>B. RAČUN ZADUŽIVANJA / FINANCIRANJA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rPr>
                <w:rFonts w:ascii="Arial" w:hAnsi="Arial" w:cs="Arial"/>
                <w:bCs/>
                <w:color w:val="FFFFFF"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rPr>
                <w:rFonts w:ascii="Arial" w:hAnsi="Arial" w:cs="Arial"/>
                <w:bCs/>
                <w:color w:val="FFFFFF"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rPr>
                <w:rFonts w:ascii="Arial" w:hAnsi="Arial" w:cs="Arial"/>
                <w:bCs/>
                <w:color w:val="FFFFFF"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rPr>
                <w:rFonts w:ascii="Arial" w:hAnsi="Arial" w:cs="Arial"/>
                <w:bCs/>
                <w:color w:val="FFFFFF"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rPr>
                <w:rFonts w:ascii="Arial" w:hAnsi="Arial" w:cs="Arial"/>
                <w:bCs/>
                <w:color w:val="FFFFFF"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rPr>
                <w:rFonts w:ascii="Arial" w:hAnsi="Arial" w:cs="Arial"/>
                <w:bCs/>
                <w:color w:val="FFFFFF"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A1096E" w:rsidRPr="00A1096E" w:rsidTr="00A1096E">
        <w:trPr>
          <w:trHeight w:val="255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96E" w:rsidRPr="00A1096E" w:rsidRDefault="00A1096E" w:rsidP="00A1096E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8 Primici od financijske imovine i zaduživanja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A1096E" w:rsidRPr="00A1096E" w:rsidTr="00A1096E">
        <w:trPr>
          <w:trHeight w:val="255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96E" w:rsidRPr="00A1096E" w:rsidRDefault="00A1096E" w:rsidP="00A1096E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5 Izdaci za financijsku imovinu i otplate zajmova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A1096E" w:rsidRPr="00A1096E" w:rsidTr="00A1096E">
        <w:trPr>
          <w:trHeight w:val="255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96E" w:rsidRPr="00A1096E" w:rsidRDefault="00A1096E" w:rsidP="00A1096E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 xml:space="preserve"> NETO ZADUŽIVANJE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A1096E" w:rsidRPr="00A1096E" w:rsidTr="00A1096E">
        <w:trPr>
          <w:trHeight w:val="540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96E" w:rsidRPr="00A1096E" w:rsidRDefault="00A1096E" w:rsidP="00A1096E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 xml:space="preserve"> UKUPNI DONOS VIŠKA / MANJKA IZ PRETHODNE(IH) GODINA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178,97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396,62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A1096E" w:rsidRPr="00A1096E" w:rsidTr="00A1096E">
        <w:trPr>
          <w:trHeight w:val="405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96E" w:rsidRPr="00A1096E" w:rsidRDefault="00A1096E" w:rsidP="00A1096E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 xml:space="preserve"> VIŠAK / MANJAK IZ PRETHODNE(IH) GODINE KOJI ĆE SE POKRITI / RASPOREDITI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178,97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396,62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A1096E" w:rsidRPr="00A1096E" w:rsidTr="00A1096E">
        <w:trPr>
          <w:trHeight w:val="389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A1096E" w:rsidRPr="00A1096E" w:rsidRDefault="00A1096E" w:rsidP="00A1096E">
            <w:pPr>
              <w:suppressAutoHyphens w:val="0"/>
              <w:rPr>
                <w:rFonts w:ascii="Arial" w:hAnsi="Arial" w:cs="Arial"/>
                <w:bCs/>
                <w:color w:val="FFFFFF"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color w:val="FFFFFF"/>
                <w:sz w:val="18"/>
                <w:szCs w:val="18"/>
                <w:lang w:eastAsia="hr-HR"/>
              </w:rPr>
              <w:t>VIŠAK / MANJAK + NETO ZADUŽIVANJE / FINANCIRANJE + KORIŠTENO U PRETHODNIM GODINAMA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rPr>
                <w:rFonts w:ascii="Arial" w:hAnsi="Arial" w:cs="Arial"/>
                <w:bCs/>
                <w:color w:val="FFFFFF"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rPr>
                <w:rFonts w:ascii="Arial" w:hAnsi="Arial" w:cs="Arial"/>
                <w:bCs/>
                <w:color w:val="FFFFFF"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rPr>
                <w:rFonts w:ascii="Arial" w:hAnsi="Arial" w:cs="Arial"/>
                <w:bCs/>
                <w:color w:val="FFFFFF"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rPr>
                <w:rFonts w:ascii="Arial" w:hAnsi="Arial" w:cs="Arial"/>
                <w:bCs/>
                <w:color w:val="FFFFFF"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rPr>
                <w:rFonts w:ascii="Arial" w:hAnsi="Arial" w:cs="Arial"/>
                <w:bCs/>
                <w:color w:val="FFFFFF"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rPr>
                <w:rFonts w:ascii="Arial" w:hAnsi="Arial" w:cs="Arial"/>
                <w:bCs/>
                <w:color w:val="FFFFFF"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A1096E" w:rsidRPr="00A1096E" w:rsidTr="00A1096E">
        <w:trPr>
          <w:trHeight w:val="255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 xml:space="preserve"> REZULTAT GODINE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396,62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140,97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-117,46%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6E" w:rsidRPr="00A1096E" w:rsidRDefault="00A1096E" w:rsidP="00A1096E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A1096E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0,00%</w:t>
            </w:r>
          </w:p>
        </w:tc>
      </w:tr>
    </w:tbl>
    <w:p w:rsidR="00782922" w:rsidRDefault="00782922" w:rsidP="00782922">
      <w:pPr>
        <w:tabs>
          <w:tab w:val="left" w:pos="5895"/>
        </w:tabs>
        <w:jc w:val="both"/>
        <w:rPr>
          <w:bCs/>
        </w:rPr>
      </w:pPr>
      <w:r>
        <w:rPr>
          <w:b/>
          <w:bCs/>
        </w:rPr>
        <w:t xml:space="preserve">   </w:t>
      </w:r>
      <w:r>
        <w:rPr>
          <w:bCs/>
        </w:rPr>
        <w:t xml:space="preserve">Dječji vrtić Vrtuljak Marčana u izvještajnom razdoblju ostvarila je </w:t>
      </w:r>
      <w:r w:rsidR="00A1096E">
        <w:rPr>
          <w:bCs/>
        </w:rPr>
        <w:t>255,65</w:t>
      </w:r>
      <w:r>
        <w:rPr>
          <w:bCs/>
        </w:rPr>
        <w:t xml:space="preserve"> EUR </w:t>
      </w:r>
      <w:r w:rsidR="00A1096E">
        <w:rPr>
          <w:bCs/>
        </w:rPr>
        <w:t>manjka</w:t>
      </w:r>
      <w:r>
        <w:rPr>
          <w:bCs/>
        </w:rPr>
        <w:t xml:space="preserve"> prihoda nad rashodima. Preneseni višak prihoda prethodne godine iznosi </w:t>
      </w:r>
      <w:r w:rsidR="00A1096E">
        <w:rPr>
          <w:bCs/>
        </w:rPr>
        <w:t>396,62</w:t>
      </w:r>
      <w:r>
        <w:rPr>
          <w:bCs/>
        </w:rPr>
        <w:t xml:space="preserve"> EUR, tako da ukupna raspoloživa sredstva, odnosno višak izvještajnog razdoblja, prema obračunu na dan 31.12.202</w:t>
      </w:r>
      <w:r w:rsidR="00A1096E">
        <w:rPr>
          <w:bCs/>
        </w:rPr>
        <w:t>4</w:t>
      </w:r>
      <w:r>
        <w:rPr>
          <w:bCs/>
        </w:rPr>
        <w:t xml:space="preserve">. iznosi </w:t>
      </w:r>
      <w:r w:rsidR="00A1096E">
        <w:rPr>
          <w:bCs/>
        </w:rPr>
        <w:t>140,97</w:t>
      </w:r>
      <w:r>
        <w:rPr>
          <w:bCs/>
        </w:rPr>
        <w:t xml:space="preserve"> EUR.  </w:t>
      </w:r>
    </w:p>
    <w:p w:rsidR="00782922" w:rsidRDefault="00782922" w:rsidP="00782922">
      <w:pPr>
        <w:tabs>
          <w:tab w:val="left" w:pos="5895"/>
        </w:tabs>
        <w:jc w:val="both"/>
        <w:rPr>
          <w:bCs/>
        </w:rPr>
      </w:pPr>
    </w:p>
    <w:p w:rsidR="00782922" w:rsidRDefault="00782922" w:rsidP="00782922">
      <w:pPr>
        <w:tabs>
          <w:tab w:val="left" w:pos="5895"/>
        </w:tabs>
        <w:jc w:val="both"/>
        <w:rPr>
          <w:bCs/>
        </w:rPr>
      </w:pPr>
    </w:p>
    <w:p w:rsidR="00782922" w:rsidRDefault="00782922" w:rsidP="00782922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782922" w:rsidRDefault="00782922" w:rsidP="00782922">
      <w:pPr>
        <w:tabs>
          <w:tab w:val="left" w:pos="5895"/>
        </w:tabs>
        <w:jc w:val="both"/>
        <w:rPr>
          <w:bCs/>
        </w:rPr>
      </w:pPr>
    </w:p>
    <w:p w:rsidR="00782922" w:rsidRDefault="00782922" w:rsidP="00782922">
      <w:pPr>
        <w:tabs>
          <w:tab w:val="left" w:pos="5895"/>
        </w:tabs>
        <w:jc w:val="both"/>
        <w:rPr>
          <w:b/>
          <w:bCs/>
        </w:rPr>
      </w:pPr>
      <w:r>
        <w:rPr>
          <w:bCs/>
        </w:rPr>
        <w:t xml:space="preserve">         </w:t>
      </w:r>
      <w:r>
        <w:rPr>
          <w:b/>
          <w:bCs/>
        </w:rPr>
        <w:t>II. Izvještaj o prihodima i rashodima, primicima i izdacima</w:t>
      </w:r>
    </w:p>
    <w:p w:rsidR="00782922" w:rsidRDefault="00782922" w:rsidP="00782922">
      <w:pPr>
        <w:tabs>
          <w:tab w:val="left" w:pos="240"/>
          <w:tab w:val="left" w:pos="5895"/>
        </w:tabs>
        <w:rPr>
          <w:bCs/>
        </w:rPr>
      </w:pPr>
      <w:r>
        <w:rPr>
          <w:b/>
          <w:bCs/>
          <w:color w:val="FF0000"/>
        </w:rPr>
        <w:t xml:space="preserve">  </w:t>
      </w:r>
      <w:r>
        <w:rPr>
          <w:b/>
          <w:bCs/>
        </w:rPr>
        <w:t>II.1. Prihodi/primici</w:t>
      </w:r>
    </w:p>
    <w:p w:rsidR="00782922" w:rsidRDefault="00782922" w:rsidP="00782922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bCs/>
        </w:rPr>
        <w:t xml:space="preserve">            </w:t>
      </w:r>
      <w:r>
        <w:rPr>
          <w:rFonts w:ascii="Times New Roman" w:hAnsi="Times New Roman"/>
          <w:sz w:val="24"/>
          <w:szCs w:val="24"/>
        </w:rPr>
        <w:t>Ukupni prihodi poslovanja u 202</w:t>
      </w:r>
      <w:r w:rsidR="00A1096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godini ostvareni su u iznosu od </w:t>
      </w:r>
      <w:r w:rsidR="00A1096E">
        <w:rPr>
          <w:rFonts w:ascii="Times New Roman" w:hAnsi="Times New Roman"/>
          <w:sz w:val="24"/>
          <w:szCs w:val="24"/>
        </w:rPr>
        <w:t>643.095,03</w:t>
      </w:r>
      <w:r>
        <w:rPr>
          <w:rFonts w:ascii="Times New Roman" w:hAnsi="Times New Roman"/>
          <w:sz w:val="24"/>
          <w:szCs w:val="24"/>
        </w:rPr>
        <w:t xml:space="preserve"> EUR (ostvarenje prethodne godine </w:t>
      </w:r>
      <w:r w:rsidR="00A1096E">
        <w:rPr>
          <w:rFonts w:ascii="Times New Roman" w:hAnsi="Times New Roman"/>
          <w:sz w:val="24"/>
          <w:szCs w:val="24"/>
        </w:rPr>
        <w:t>465.061,06</w:t>
      </w:r>
      <w:r>
        <w:rPr>
          <w:rFonts w:ascii="Times New Roman" w:hAnsi="Times New Roman"/>
          <w:sz w:val="24"/>
          <w:szCs w:val="24"/>
        </w:rPr>
        <w:t xml:space="preserve"> EUR), čine </w:t>
      </w:r>
      <w:r w:rsidR="00A1096E">
        <w:rPr>
          <w:rFonts w:ascii="Times New Roman" w:hAnsi="Times New Roman"/>
          <w:sz w:val="24"/>
          <w:szCs w:val="24"/>
        </w:rPr>
        <w:t>138,3</w:t>
      </w:r>
      <w:r>
        <w:rPr>
          <w:rFonts w:ascii="Times New Roman" w:hAnsi="Times New Roman"/>
          <w:sz w:val="24"/>
          <w:szCs w:val="24"/>
        </w:rPr>
        <w:t>% ostvarenja u odnosu na prethodnu 202</w:t>
      </w:r>
      <w:r w:rsidR="00A1096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godinu.</w:t>
      </w:r>
      <w:r>
        <w:rPr>
          <w:bCs/>
        </w:rPr>
        <w:t xml:space="preserve"> </w:t>
      </w:r>
    </w:p>
    <w:p w:rsidR="00782922" w:rsidRDefault="00782922" w:rsidP="00782922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782922" w:rsidRDefault="00782922" w:rsidP="00782922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782922" w:rsidRDefault="00782922" w:rsidP="00782922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Unutar pojedinih prihoda ostvarenje je manje ili veće u odnosu na prethodnu godinu:</w:t>
      </w:r>
    </w:p>
    <w:p w:rsidR="00782922" w:rsidRDefault="00782922" w:rsidP="00782922">
      <w:pPr>
        <w:pStyle w:val="Bezproreda1"/>
        <w:jc w:val="both"/>
        <w:rPr>
          <w:color w:val="000000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8740" w:type="dxa"/>
        <w:tblInd w:w="93" w:type="dxa"/>
        <w:tblLook w:val="04A0" w:firstRow="1" w:lastRow="0" w:firstColumn="1" w:lastColumn="0" w:noHBand="0" w:noVBand="1"/>
      </w:tblPr>
      <w:tblGrid>
        <w:gridCol w:w="960"/>
        <w:gridCol w:w="2180"/>
        <w:gridCol w:w="880"/>
        <w:gridCol w:w="1180"/>
        <w:gridCol w:w="1360"/>
        <w:gridCol w:w="1220"/>
        <w:gridCol w:w="960"/>
      </w:tblGrid>
      <w:tr w:rsidR="00162203" w:rsidRPr="00162203" w:rsidTr="004A52A0">
        <w:trPr>
          <w:trHeight w:val="700"/>
        </w:trPr>
        <w:tc>
          <w:tcPr>
            <w:tcW w:w="9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62203" w:rsidRPr="00162203" w:rsidRDefault="00162203" w:rsidP="0016220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162203">
              <w:rPr>
                <w:color w:val="000000"/>
                <w:sz w:val="18"/>
                <w:szCs w:val="18"/>
                <w:lang w:eastAsia="hr-HR"/>
              </w:rPr>
              <w:t xml:space="preserve">Račun iz </w:t>
            </w:r>
            <w:proofErr w:type="spellStart"/>
            <w:r w:rsidRPr="00162203">
              <w:rPr>
                <w:color w:val="000000"/>
                <w:sz w:val="18"/>
                <w:szCs w:val="18"/>
                <w:lang w:eastAsia="hr-HR"/>
              </w:rPr>
              <w:t>rač</w:t>
            </w:r>
            <w:proofErr w:type="spellEnd"/>
            <w:r w:rsidRPr="00162203">
              <w:rPr>
                <w:color w:val="000000"/>
                <w:sz w:val="18"/>
                <w:szCs w:val="18"/>
                <w:lang w:eastAsia="hr-HR"/>
              </w:rPr>
              <w:t xml:space="preserve"> plana</w:t>
            </w:r>
          </w:p>
        </w:tc>
        <w:tc>
          <w:tcPr>
            <w:tcW w:w="21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62203" w:rsidRPr="00162203" w:rsidRDefault="00162203" w:rsidP="0016220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162203">
              <w:rPr>
                <w:color w:val="000000"/>
                <w:sz w:val="18"/>
                <w:szCs w:val="18"/>
                <w:lang w:eastAsia="hr-HR"/>
              </w:rPr>
              <w:t>VRSTA PRIHODA / RASHODA</w:t>
            </w:r>
          </w:p>
        </w:tc>
        <w:tc>
          <w:tcPr>
            <w:tcW w:w="8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62203" w:rsidRPr="00162203" w:rsidRDefault="00162203" w:rsidP="0016220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162203">
              <w:rPr>
                <w:color w:val="000000"/>
                <w:sz w:val="18"/>
                <w:szCs w:val="18"/>
                <w:lang w:eastAsia="hr-HR"/>
              </w:rPr>
              <w:t>Šfra</w:t>
            </w:r>
            <w:proofErr w:type="spellEnd"/>
            <w:r w:rsidRPr="00162203">
              <w:rPr>
                <w:color w:val="000000"/>
                <w:sz w:val="18"/>
                <w:szCs w:val="18"/>
                <w:lang w:eastAsia="hr-HR"/>
              </w:rPr>
              <w:t xml:space="preserve"> obrasca</w:t>
            </w:r>
          </w:p>
        </w:tc>
        <w:tc>
          <w:tcPr>
            <w:tcW w:w="11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62203" w:rsidRPr="00162203" w:rsidRDefault="00162203" w:rsidP="0016220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162203">
              <w:rPr>
                <w:color w:val="000000"/>
                <w:sz w:val="18"/>
                <w:szCs w:val="18"/>
                <w:lang w:eastAsia="hr-HR"/>
              </w:rPr>
              <w:t>Ostvarenje 2023.</w:t>
            </w:r>
          </w:p>
        </w:tc>
        <w:tc>
          <w:tcPr>
            <w:tcW w:w="13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62203" w:rsidRPr="00162203" w:rsidRDefault="00162203" w:rsidP="0016220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162203">
              <w:rPr>
                <w:color w:val="000000"/>
                <w:sz w:val="18"/>
                <w:szCs w:val="18"/>
                <w:lang w:eastAsia="hr-HR"/>
              </w:rPr>
              <w:t>Ostvarenje 2024.</w:t>
            </w:r>
          </w:p>
        </w:tc>
        <w:tc>
          <w:tcPr>
            <w:tcW w:w="12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62203" w:rsidRPr="00162203" w:rsidRDefault="00162203" w:rsidP="0016220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162203">
              <w:rPr>
                <w:color w:val="000000"/>
                <w:sz w:val="18"/>
                <w:szCs w:val="18"/>
                <w:lang w:eastAsia="hr-HR"/>
              </w:rPr>
              <w:t>Indeks 2024/2023</w:t>
            </w:r>
          </w:p>
        </w:tc>
        <w:tc>
          <w:tcPr>
            <w:tcW w:w="9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162203" w:rsidRPr="00162203" w:rsidRDefault="00162203" w:rsidP="0016220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162203">
              <w:rPr>
                <w:color w:val="000000"/>
                <w:sz w:val="18"/>
                <w:szCs w:val="18"/>
                <w:lang w:eastAsia="hr-HR"/>
              </w:rPr>
              <w:t xml:space="preserve">Udio </w:t>
            </w:r>
            <w:proofErr w:type="spellStart"/>
            <w:r w:rsidRPr="00162203">
              <w:rPr>
                <w:color w:val="000000"/>
                <w:sz w:val="18"/>
                <w:szCs w:val="18"/>
                <w:lang w:eastAsia="hr-HR"/>
              </w:rPr>
              <w:t>ostv</w:t>
            </w:r>
            <w:proofErr w:type="spellEnd"/>
            <w:r w:rsidRPr="00162203">
              <w:rPr>
                <w:color w:val="000000"/>
                <w:sz w:val="18"/>
                <w:szCs w:val="18"/>
                <w:lang w:eastAsia="hr-HR"/>
              </w:rPr>
              <w:t>. 2024.  %</w:t>
            </w:r>
          </w:p>
        </w:tc>
      </w:tr>
      <w:tr w:rsidR="00162203" w:rsidRPr="00162203" w:rsidTr="004A52A0">
        <w:trPr>
          <w:trHeight w:val="115"/>
        </w:trPr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62203" w:rsidRPr="00162203" w:rsidRDefault="00162203" w:rsidP="00162203">
            <w:pPr>
              <w:suppressAutoHyphens w:val="0"/>
              <w:jc w:val="center"/>
              <w:rPr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62203">
              <w:rPr>
                <w:i/>
                <w:i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18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62203" w:rsidRPr="00162203" w:rsidRDefault="00162203" w:rsidP="00162203">
            <w:pPr>
              <w:suppressAutoHyphens w:val="0"/>
              <w:jc w:val="center"/>
              <w:rPr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62203">
              <w:rPr>
                <w:i/>
                <w:i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62203" w:rsidRPr="00162203" w:rsidRDefault="00162203" w:rsidP="00162203">
            <w:pPr>
              <w:suppressAutoHyphens w:val="0"/>
              <w:jc w:val="center"/>
              <w:rPr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62203">
              <w:rPr>
                <w:i/>
                <w:i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18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62203" w:rsidRPr="00162203" w:rsidRDefault="00162203" w:rsidP="00162203">
            <w:pPr>
              <w:suppressAutoHyphens w:val="0"/>
              <w:jc w:val="center"/>
              <w:rPr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62203">
              <w:rPr>
                <w:i/>
                <w:i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62203" w:rsidRPr="00162203" w:rsidRDefault="00162203" w:rsidP="00162203">
            <w:pPr>
              <w:suppressAutoHyphens w:val="0"/>
              <w:jc w:val="center"/>
              <w:rPr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62203">
              <w:rPr>
                <w:i/>
                <w:i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22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62203" w:rsidRPr="00162203" w:rsidRDefault="00162203" w:rsidP="00162203">
            <w:pPr>
              <w:suppressAutoHyphens w:val="0"/>
              <w:jc w:val="center"/>
              <w:rPr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62203">
              <w:rPr>
                <w:i/>
                <w:iCs/>
                <w:color w:val="000000"/>
                <w:sz w:val="18"/>
                <w:szCs w:val="18"/>
                <w:lang w:eastAsia="hr-HR"/>
              </w:rPr>
              <w:t>6 (5/4)</w:t>
            </w:r>
          </w:p>
        </w:tc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162203" w:rsidRPr="00162203" w:rsidRDefault="00162203" w:rsidP="00162203">
            <w:pPr>
              <w:suppressAutoHyphens w:val="0"/>
              <w:jc w:val="center"/>
              <w:rPr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62203">
              <w:rPr>
                <w:i/>
                <w:iCs/>
                <w:color w:val="000000"/>
                <w:sz w:val="18"/>
                <w:szCs w:val="18"/>
                <w:lang w:eastAsia="hr-HR"/>
              </w:rPr>
              <w:t>7</w:t>
            </w:r>
          </w:p>
        </w:tc>
      </w:tr>
      <w:tr w:rsidR="00162203" w:rsidRPr="00162203" w:rsidTr="00162203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C0C0C0"/>
            <w:vAlign w:val="center"/>
            <w:hideMark/>
          </w:tcPr>
          <w:p w:rsidR="00162203" w:rsidRPr="00162203" w:rsidRDefault="00162203" w:rsidP="0016220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2203">
              <w:rPr>
                <w:b/>
                <w:bCs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218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C0C0C0"/>
            <w:vAlign w:val="center"/>
            <w:hideMark/>
          </w:tcPr>
          <w:p w:rsidR="00162203" w:rsidRPr="00162203" w:rsidRDefault="00162203" w:rsidP="0016220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2203"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Prihodi poslovanja </w:t>
            </w:r>
          </w:p>
        </w:tc>
        <w:tc>
          <w:tcPr>
            <w:tcW w:w="88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C0C0C0"/>
            <w:vAlign w:val="center"/>
            <w:hideMark/>
          </w:tcPr>
          <w:p w:rsidR="00162203" w:rsidRPr="00162203" w:rsidRDefault="00162203" w:rsidP="0016220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2203">
              <w:rPr>
                <w:b/>
                <w:bCs/>
                <w:color w:val="000000"/>
                <w:sz w:val="18"/>
                <w:szCs w:val="18"/>
                <w:lang w:eastAsia="hr-HR"/>
              </w:rPr>
              <w:t>X067</w:t>
            </w:r>
          </w:p>
        </w:tc>
        <w:tc>
          <w:tcPr>
            <w:tcW w:w="118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C0C0C0"/>
            <w:vAlign w:val="center"/>
            <w:hideMark/>
          </w:tcPr>
          <w:p w:rsidR="00162203" w:rsidRPr="00162203" w:rsidRDefault="00162203" w:rsidP="00162203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2203">
              <w:rPr>
                <w:b/>
                <w:bCs/>
                <w:color w:val="000000"/>
                <w:sz w:val="18"/>
                <w:szCs w:val="18"/>
                <w:lang w:eastAsia="hr-HR"/>
              </w:rPr>
              <w:t>465.061,06</w:t>
            </w:r>
          </w:p>
        </w:tc>
        <w:tc>
          <w:tcPr>
            <w:tcW w:w="13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C0C0C0"/>
            <w:vAlign w:val="center"/>
            <w:hideMark/>
          </w:tcPr>
          <w:p w:rsidR="00162203" w:rsidRPr="00162203" w:rsidRDefault="00162203" w:rsidP="00162203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2203">
              <w:rPr>
                <w:b/>
                <w:bCs/>
                <w:color w:val="000000"/>
                <w:sz w:val="18"/>
                <w:szCs w:val="18"/>
                <w:lang w:eastAsia="hr-HR"/>
              </w:rPr>
              <w:t>643.095,03</w:t>
            </w:r>
          </w:p>
        </w:tc>
        <w:tc>
          <w:tcPr>
            <w:tcW w:w="122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C0C0C0"/>
            <w:vAlign w:val="center"/>
            <w:hideMark/>
          </w:tcPr>
          <w:p w:rsidR="00162203" w:rsidRPr="00162203" w:rsidRDefault="00162203" w:rsidP="00162203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2203">
              <w:rPr>
                <w:b/>
                <w:bCs/>
                <w:color w:val="000000"/>
                <w:sz w:val="18"/>
                <w:szCs w:val="18"/>
                <w:lang w:eastAsia="hr-HR"/>
              </w:rPr>
              <w:t>138,28%</w:t>
            </w:r>
          </w:p>
        </w:tc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C0C0C0"/>
            <w:vAlign w:val="center"/>
            <w:hideMark/>
          </w:tcPr>
          <w:p w:rsidR="00162203" w:rsidRPr="00162203" w:rsidRDefault="00162203" w:rsidP="00162203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2203">
              <w:rPr>
                <w:b/>
                <w:bCs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162203" w:rsidRPr="00162203" w:rsidTr="00162203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62203" w:rsidRPr="00162203" w:rsidRDefault="00162203" w:rsidP="00162203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162203">
              <w:rPr>
                <w:color w:val="000000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218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62203" w:rsidRPr="00162203" w:rsidRDefault="00162203" w:rsidP="00162203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162203">
              <w:rPr>
                <w:color w:val="000000"/>
                <w:sz w:val="18"/>
                <w:szCs w:val="18"/>
                <w:lang w:eastAsia="hr-HR"/>
              </w:rPr>
              <w:t>Pomoći iz proračuna</w:t>
            </w:r>
          </w:p>
        </w:tc>
        <w:tc>
          <w:tcPr>
            <w:tcW w:w="88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62203" w:rsidRPr="00162203" w:rsidRDefault="00162203" w:rsidP="00162203">
            <w:pPr>
              <w:suppressAutoHyphens w:val="0"/>
              <w:rPr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62203">
              <w:rPr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118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62203" w:rsidRPr="00162203" w:rsidRDefault="00162203" w:rsidP="0016220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162203">
              <w:rPr>
                <w:color w:val="000000"/>
                <w:sz w:val="18"/>
                <w:szCs w:val="18"/>
                <w:lang w:eastAsia="hr-HR"/>
              </w:rPr>
              <w:t>8.051,71</w:t>
            </w:r>
          </w:p>
        </w:tc>
        <w:tc>
          <w:tcPr>
            <w:tcW w:w="13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62203" w:rsidRPr="00162203" w:rsidRDefault="00162203" w:rsidP="0016220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162203">
              <w:rPr>
                <w:color w:val="000000"/>
                <w:sz w:val="18"/>
                <w:szCs w:val="18"/>
                <w:lang w:eastAsia="hr-HR"/>
              </w:rPr>
              <w:t>8.273,03</w:t>
            </w:r>
          </w:p>
        </w:tc>
        <w:tc>
          <w:tcPr>
            <w:tcW w:w="122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62203" w:rsidRPr="00162203" w:rsidRDefault="00162203" w:rsidP="0016220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162203">
              <w:rPr>
                <w:color w:val="000000"/>
                <w:sz w:val="18"/>
                <w:szCs w:val="18"/>
                <w:lang w:eastAsia="hr-HR"/>
              </w:rPr>
              <w:t>102,75%</w:t>
            </w:r>
          </w:p>
        </w:tc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162203" w:rsidRPr="00162203" w:rsidRDefault="00162203" w:rsidP="0016220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162203">
              <w:rPr>
                <w:color w:val="000000"/>
                <w:sz w:val="18"/>
                <w:szCs w:val="18"/>
                <w:lang w:eastAsia="hr-HR"/>
              </w:rPr>
              <w:t>1,29%</w:t>
            </w:r>
          </w:p>
        </w:tc>
      </w:tr>
      <w:tr w:rsidR="00162203" w:rsidRPr="00162203" w:rsidTr="00162203">
        <w:trPr>
          <w:trHeight w:val="975"/>
        </w:trPr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62203" w:rsidRPr="00162203" w:rsidRDefault="00162203" w:rsidP="00162203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162203">
              <w:rPr>
                <w:color w:val="000000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218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62203" w:rsidRPr="00162203" w:rsidRDefault="00162203" w:rsidP="00162203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162203">
              <w:rPr>
                <w:color w:val="000000"/>
                <w:sz w:val="18"/>
                <w:szCs w:val="18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88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62203" w:rsidRPr="00162203" w:rsidRDefault="00162203" w:rsidP="00162203">
            <w:pPr>
              <w:suppressAutoHyphens w:val="0"/>
              <w:rPr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62203">
              <w:rPr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118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62203" w:rsidRPr="00162203" w:rsidRDefault="00162203" w:rsidP="0016220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162203">
              <w:rPr>
                <w:color w:val="000000"/>
                <w:sz w:val="18"/>
                <w:szCs w:val="18"/>
                <w:lang w:eastAsia="hr-HR"/>
              </w:rPr>
              <w:t>76.257,14</w:t>
            </w:r>
          </w:p>
        </w:tc>
        <w:tc>
          <w:tcPr>
            <w:tcW w:w="13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62203" w:rsidRPr="00162203" w:rsidRDefault="00162203" w:rsidP="0016220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162203">
              <w:rPr>
                <w:color w:val="000000"/>
                <w:sz w:val="18"/>
                <w:szCs w:val="18"/>
                <w:lang w:eastAsia="hr-HR"/>
              </w:rPr>
              <w:t>92.043,39</w:t>
            </w:r>
          </w:p>
        </w:tc>
        <w:tc>
          <w:tcPr>
            <w:tcW w:w="122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62203" w:rsidRPr="00162203" w:rsidRDefault="00162203" w:rsidP="0016220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162203">
              <w:rPr>
                <w:color w:val="000000"/>
                <w:sz w:val="18"/>
                <w:szCs w:val="18"/>
                <w:lang w:eastAsia="hr-HR"/>
              </w:rPr>
              <w:t>120,70%</w:t>
            </w:r>
          </w:p>
        </w:tc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162203" w:rsidRPr="00162203" w:rsidRDefault="00162203" w:rsidP="0016220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162203">
              <w:rPr>
                <w:color w:val="000000"/>
                <w:sz w:val="18"/>
                <w:szCs w:val="18"/>
                <w:lang w:eastAsia="hr-HR"/>
              </w:rPr>
              <w:t>14,31%</w:t>
            </w:r>
          </w:p>
        </w:tc>
      </w:tr>
      <w:tr w:rsidR="00162203" w:rsidRPr="00162203" w:rsidTr="004A52A0">
        <w:trPr>
          <w:trHeight w:val="782"/>
        </w:trPr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62203" w:rsidRPr="00162203" w:rsidRDefault="00162203" w:rsidP="00162203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162203">
              <w:rPr>
                <w:color w:val="000000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218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62203" w:rsidRPr="00162203" w:rsidRDefault="00162203" w:rsidP="00162203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162203">
              <w:rPr>
                <w:color w:val="000000"/>
                <w:sz w:val="18"/>
                <w:szCs w:val="18"/>
                <w:lang w:eastAsia="hr-HR"/>
              </w:rPr>
              <w:t>Prihodi od prodaje proizvoda i roba te pruženih usluga i prihodi od donacija</w:t>
            </w:r>
          </w:p>
        </w:tc>
        <w:tc>
          <w:tcPr>
            <w:tcW w:w="88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62203" w:rsidRPr="00162203" w:rsidRDefault="00162203" w:rsidP="00162203">
            <w:pPr>
              <w:suppressAutoHyphens w:val="0"/>
              <w:rPr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62203">
              <w:rPr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118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62203" w:rsidRPr="00162203" w:rsidRDefault="00162203" w:rsidP="0016220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162203">
              <w:rPr>
                <w:color w:val="000000"/>
                <w:sz w:val="18"/>
                <w:szCs w:val="18"/>
                <w:lang w:eastAsia="hr-HR"/>
              </w:rPr>
              <w:t>7.316,83</w:t>
            </w:r>
          </w:p>
        </w:tc>
        <w:tc>
          <w:tcPr>
            <w:tcW w:w="13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62203" w:rsidRPr="00162203" w:rsidRDefault="00162203" w:rsidP="0016220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162203">
              <w:rPr>
                <w:color w:val="000000"/>
                <w:sz w:val="18"/>
                <w:szCs w:val="18"/>
                <w:lang w:eastAsia="hr-HR"/>
              </w:rPr>
              <w:t>28.957,80</w:t>
            </w:r>
          </w:p>
        </w:tc>
        <w:tc>
          <w:tcPr>
            <w:tcW w:w="122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62203" w:rsidRPr="00162203" w:rsidRDefault="00162203" w:rsidP="0016220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162203">
              <w:rPr>
                <w:color w:val="000000"/>
                <w:sz w:val="18"/>
                <w:szCs w:val="18"/>
                <w:lang w:eastAsia="hr-HR"/>
              </w:rPr>
              <w:t>395,77%</w:t>
            </w:r>
          </w:p>
        </w:tc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162203" w:rsidRPr="00162203" w:rsidRDefault="00162203" w:rsidP="0016220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162203">
              <w:rPr>
                <w:color w:val="000000"/>
                <w:sz w:val="18"/>
                <w:szCs w:val="18"/>
                <w:lang w:eastAsia="hr-HR"/>
              </w:rPr>
              <w:t>4,50%</w:t>
            </w:r>
          </w:p>
        </w:tc>
      </w:tr>
      <w:tr w:rsidR="00162203" w:rsidRPr="00162203" w:rsidTr="00162203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62203" w:rsidRPr="00162203" w:rsidRDefault="00162203" w:rsidP="00162203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162203">
              <w:rPr>
                <w:color w:val="000000"/>
                <w:sz w:val="18"/>
                <w:szCs w:val="18"/>
                <w:lang w:eastAsia="hr-HR"/>
              </w:rPr>
              <w:t>67</w:t>
            </w:r>
          </w:p>
        </w:tc>
        <w:tc>
          <w:tcPr>
            <w:tcW w:w="218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62203" w:rsidRPr="00162203" w:rsidRDefault="00162203" w:rsidP="00162203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162203">
              <w:rPr>
                <w:color w:val="000000"/>
                <w:sz w:val="18"/>
                <w:szCs w:val="18"/>
                <w:lang w:eastAsia="hr-HR"/>
              </w:rPr>
              <w:t xml:space="preserve">Prihodi iz proračuna  </w:t>
            </w:r>
          </w:p>
        </w:tc>
        <w:tc>
          <w:tcPr>
            <w:tcW w:w="88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62203" w:rsidRPr="00162203" w:rsidRDefault="00162203" w:rsidP="00162203">
            <w:pPr>
              <w:suppressAutoHyphens w:val="0"/>
              <w:rPr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62203">
              <w:rPr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67</w:t>
            </w:r>
          </w:p>
        </w:tc>
        <w:tc>
          <w:tcPr>
            <w:tcW w:w="118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62203" w:rsidRPr="00162203" w:rsidRDefault="00162203" w:rsidP="0016220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162203">
              <w:rPr>
                <w:color w:val="000000"/>
                <w:sz w:val="18"/>
                <w:szCs w:val="18"/>
                <w:lang w:eastAsia="hr-HR"/>
              </w:rPr>
              <w:t>373.435,38</w:t>
            </w:r>
          </w:p>
        </w:tc>
        <w:tc>
          <w:tcPr>
            <w:tcW w:w="13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62203" w:rsidRPr="00162203" w:rsidRDefault="00162203" w:rsidP="0016220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162203">
              <w:rPr>
                <w:color w:val="000000"/>
                <w:sz w:val="18"/>
                <w:szCs w:val="18"/>
                <w:lang w:eastAsia="hr-HR"/>
              </w:rPr>
              <w:t>513.820,81</w:t>
            </w:r>
          </w:p>
        </w:tc>
        <w:tc>
          <w:tcPr>
            <w:tcW w:w="122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62203" w:rsidRPr="00162203" w:rsidRDefault="00162203" w:rsidP="0016220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162203">
              <w:rPr>
                <w:color w:val="000000"/>
                <w:sz w:val="18"/>
                <w:szCs w:val="18"/>
                <w:lang w:eastAsia="hr-HR"/>
              </w:rPr>
              <w:t>137,59%</w:t>
            </w:r>
          </w:p>
        </w:tc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162203" w:rsidRPr="00162203" w:rsidRDefault="00162203" w:rsidP="0016220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162203">
              <w:rPr>
                <w:color w:val="000000"/>
                <w:sz w:val="18"/>
                <w:szCs w:val="18"/>
                <w:lang w:eastAsia="hr-HR"/>
              </w:rPr>
              <w:t>79,90%</w:t>
            </w:r>
          </w:p>
        </w:tc>
      </w:tr>
    </w:tbl>
    <w:p w:rsidR="00782922" w:rsidRDefault="00782922" w:rsidP="00782922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782922" w:rsidRDefault="00782922" w:rsidP="00782922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>Prihodi od pomoći (63) ostvareni u izvještajnom</w:t>
      </w:r>
      <w:r>
        <w:rPr>
          <w:b/>
          <w:bCs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razdoblju </w:t>
      </w:r>
      <w:r w:rsidR="004A52A0">
        <w:rPr>
          <w:rFonts w:ascii="Times New Roman" w:hAnsi="Times New Roman"/>
          <w:b/>
          <w:sz w:val="24"/>
          <w:szCs w:val="24"/>
        </w:rPr>
        <w:t>8.273,03</w:t>
      </w:r>
      <w:r>
        <w:rPr>
          <w:rFonts w:ascii="Times New Roman" w:hAnsi="Times New Roman"/>
          <w:b/>
          <w:sz w:val="24"/>
          <w:szCs w:val="24"/>
        </w:rPr>
        <w:t xml:space="preserve"> EUR</w:t>
      </w:r>
      <w:r>
        <w:rPr>
          <w:rFonts w:ascii="Times New Roman" w:hAnsi="Times New Roman"/>
          <w:sz w:val="24"/>
          <w:szCs w:val="24"/>
        </w:rPr>
        <w:t xml:space="preserve">, (ostvarenje prethodne godine </w:t>
      </w:r>
      <w:r w:rsidR="004A52A0">
        <w:rPr>
          <w:rFonts w:ascii="Times New Roman" w:hAnsi="Times New Roman"/>
          <w:sz w:val="24"/>
          <w:szCs w:val="24"/>
        </w:rPr>
        <w:t>8.051,71</w:t>
      </w:r>
      <w:r>
        <w:rPr>
          <w:rFonts w:ascii="Times New Roman" w:hAnsi="Times New Roman"/>
          <w:sz w:val="24"/>
          <w:szCs w:val="24"/>
        </w:rPr>
        <w:t xml:space="preserve"> EUR). Odnose se na </w:t>
      </w:r>
    </w:p>
    <w:p w:rsidR="00782922" w:rsidRDefault="00782922" w:rsidP="00782922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-pomoći JLP®S  </w:t>
      </w:r>
      <w:r w:rsidR="004A52A0">
        <w:rPr>
          <w:rFonts w:ascii="Times New Roman" w:hAnsi="Times New Roman"/>
          <w:sz w:val="24"/>
          <w:szCs w:val="24"/>
        </w:rPr>
        <w:t>6.481,43</w:t>
      </w:r>
      <w:r>
        <w:rPr>
          <w:rFonts w:ascii="Times New Roman" w:hAnsi="Times New Roman"/>
          <w:sz w:val="24"/>
          <w:szCs w:val="24"/>
        </w:rPr>
        <w:t xml:space="preserve"> EUR za sufinanciranje smještaja </w:t>
      </w:r>
      <w:r w:rsidR="004A52A0">
        <w:rPr>
          <w:rFonts w:ascii="Times New Roman" w:hAnsi="Times New Roman"/>
          <w:sz w:val="24"/>
          <w:szCs w:val="24"/>
        </w:rPr>
        <w:t>5.481,43</w:t>
      </w:r>
      <w:r>
        <w:rPr>
          <w:rFonts w:ascii="Times New Roman" w:hAnsi="Times New Roman"/>
          <w:sz w:val="24"/>
          <w:szCs w:val="24"/>
        </w:rPr>
        <w:t xml:space="preserve"> EUR i </w:t>
      </w:r>
      <w:r w:rsidR="004A52A0">
        <w:rPr>
          <w:rFonts w:ascii="Times New Roman" w:hAnsi="Times New Roman"/>
          <w:sz w:val="24"/>
          <w:szCs w:val="24"/>
        </w:rPr>
        <w:t>1.000,00</w:t>
      </w:r>
      <w:r>
        <w:rPr>
          <w:rFonts w:ascii="Times New Roman" w:hAnsi="Times New Roman"/>
          <w:sz w:val="24"/>
          <w:szCs w:val="24"/>
        </w:rPr>
        <w:t xml:space="preserve"> EUR pomoći za program zavičajne nastave </w:t>
      </w:r>
    </w:p>
    <w:p w:rsidR="00782922" w:rsidRPr="004C3070" w:rsidRDefault="00782922" w:rsidP="00782922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-Državni proračun </w:t>
      </w:r>
      <w:r w:rsidR="004A52A0">
        <w:rPr>
          <w:rFonts w:ascii="Times New Roman" w:hAnsi="Times New Roman"/>
          <w:sz w:val="24"/>
          <w:szCs w:val="24"/>
        </w:rPr>
        <w:t xml:space="preserve">1.791,60 EUR, od čega </w:t>
      </w:r>
      <w:r>
        <w:rPr>
          <w:rFonts w:ascii="Times New Roman" w:hAnsi="Times New Roman"/>
          <w:sz w:val="24"/>
          <w:szCs w:val="24"/>
        </w:rPr>
        <w:t xml:space="preserve">za program </w:t>
      </w:r>
      <w:proofErr w:type="spellStart"/>
      <w:r>
        <w:rPr>
          <w:rFonts w:ascii="Times New Roman" w:hAnsi="Times New Roman"/>
          <w:sz w:val="24"/>
          <w:szCs w:val="24"/>
        </w:rPr>
        <w:t>predškole</w:t>
      </w:r>
      <w:proofErr w:type="spellEnd"/>
      <w:r>
        <w:rPr>
          <w:rFonts w:ascii="Times New Roman" w:hAnsi="Times New Roman"/>
          <w:sz w:val="24"/>
          <w:szCs w:val="24"/>
        </w:rPr>
        <w:t xml:space="preserve"> u iznosu od </w:t>
      </w:r>
      <w:r w:rsidR="004A52A0">
        <w:rPr>
          <w:rFonts w:ascii="Times New Roman" w:hAnsi="Times New Roman"/>
          <w:sz w:val="24"/>
          <w:szCs w:val="24"/>
        </w:rPr>
        <w:t>489,60</w:t>
      </w:r>
      <w:r>
        <w:rPr>
          <w:rFonts w:ascii="Times New Roman" w:hAnsi="Times New Roman"/>
          <w:sz w:val="24"/>
          <w:szCs w:val="24"/>
        </w:rPr>
        <w:t xml:space="preserve"> EUR  i</w:t>
      </w:r>
      <w:r w:rsidR="004A52A0">
        <w:rPr>
          <w:rFonts w:ascii="Times New Roman" w:hAnsi="Times New Roman"/>
          <w:sz w:val="24"/>
          <w:szCs w:val="24"/>
        </w:rPr>
        <w:t xml:space="preserve"> za troškove programa za djecu s teškoćama u </w:t>
      </w:r>
      <w:proofErr w:type="spellStart"/>
      <w:r w:rsidR="004A52A0">
        <w:rPr>
          <w:rFonts w:ascii="Times New Roman" w:hAnsi="Times New Roman"/>
          <w:sz w:val="24"/>
          <w:szCs w:val="24"/>
        </w:rPr>
        <w:t>integracji</w:t>
      </w:r>
      <w:proofErr w:type="spellEnd"/>
      <w:r w:rsidR="004A52A0">
        <w:rPr>
          <w:rFonts w:ascii="Times New Roman" w:hAnsi="Times New Roman"/>
          <w:sz w:val="24"/>
          <w:szCs w:val="24"/>
        </w:rPr>
        <w:t xml:space="preserve"> u iznosu od 1.302,00 EUR,</w:t>
      </w:r>
    </w:p>
    <w:p w:rsidR="00782922" w:rsidRPr="004C3070" w:rsidRDefault="00782922" w:rsidP="00782922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Prihodi od imovine (64)  </w:t>
      </w:r>
      <w:r w:rsidRPr="004C3070">
        <w:rPr>
          <w:rFonts w:ascii="Times New Roman" w:hAnsi="Times New Roman"/>
          <w:sz w:val="24"/>
          <w:szCs w:val="24"/>
        </w:rPr>
        <w:t xml:space="preserve">u izvještajnom razdoblju nisu ostvareni, (ostvarenje prethodne   obuhvaćaju prihode od kamata na sredstva po viđenju )  </w:t>
      </w:r>
    </w:p>
    <w:p w:rsidR="00782922" w:rsidRDefault="00782922" w:rsidP="00782922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>Prihodi od upravnih i administrativnih pristojbi, pristojbi po posebnim propisima i naknadama (65)  ostvareni u izvještajnom</w:t>
      </w:r>
      <w:r>
        <w:rPr>
          <w:b/>
          <w:bCs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razdoblju </w:t>
      </w:r>
      <w:r w:rsidR="004A52A0">
        <w:rPr>
          <w:rFonts w:ascii="Times New Roman" w:hAnsi="Times New Roman"/>
          <w:b/>
          <w:sz w:val="24"/>
          <w:szCs w:val="24"/>
        </w:rPr>
        <w:t>92.043,39</w:t>
      </w:r>
      <w:r>
        <w:rPr>
          <w:rFonts w:ascii="Times New Roman" w:hAnsi="Times New Roman"/>
          <w:b/>
          <w:sz w:val="24"/>
          <w:szCs w:val="24"/>
        </w:rPr>
        <w:t xml:space="preserve"> EUR</w:t>
      </w:r>
      <w:r>
        <w:rPr>
          <w:rFonts w:ascii="Times New Roman" w:hAnsi="Times New Roman"/>
          <w:sz w:val="24"/>
          <w:szCs w:val="24"/>
        </w:rPr>
        <w:t xml:space="preserve"> (indeks ostvarenja prethodne godine </w:t>
      </w:r>
      <w:r w:rsidR="004A52A0">
        <w:rPr>
          <w:rFonts w:ascii="Times New Roman" w:hAnsi="Times New Roman"/>
          <w:sz w:val="24"/>
          <w:szCs w:val="24"/>
        </w:rPr>
        <w:t>120,7</w:t>
      </w:r>
      <w:r>
        <w:rPr>
          <w:rFonts w:ascii="Times New Roman" w:hAnsi="Times New Roman"/>
          <w:sz w:val="24"/>
          <w:szCs w:val="24"/>
        </w:rPr>
        <w:t>%) i sadrže slijedeće prihode:</w:t>
      </w:r>
    </w:p>
    <w:p w:rsidR="00782922" w:rsidRDefault="00782922" w:rsidP="00782922">
      <w:pPr>
        <w:pStyle w:val="Bezproreda1"/>
        <w:jc w:val="both"/>
        <w:rPr>
          <w:bCs/>
        </w:rPr>
      </w:pPr>
      <w:r>
        <w:rPr>
          <w:rFonts w:ascii="Times New Roman" w:hAnsi="Times New Roman"/>
          <w:sz w:val="24"/>
          <w:szCs w:val="24"/>
        </w:rPr>
        <w:t xml:space="preserve"> - sufinanciranje cijene usluga od roditelja </w:t>
      </w:r>
      <w:r w:rsidR="004A52A0">
        <w:rPr>
          <w:rFonts w:ascii="Times New Roman" w:hAnsi="Times New Roman"/>
          <w:sz w:val="24"/>
          <w:szCs w:val="24"/>
        </w:rPr>
        <w:t>84.298,77</w:t>
      </w:r>
      <w:r>
        <w:rPr>
          <w:rFonts w:ascii="Times New Roman" w:hAnsi="Times New Roman"/>
          <w:sz w:val="24"/>
          <w:szCs w:val="24"/>
        </w:rPr>
        <w:t xml:space="preserve"> EUR (ostvarenje prethodne godine </w:t>
      </w:r>
      <w:r w:rsidR="004A52A0">
        <w:rPr>
          <w:rFonts w:ascii="Times New Roman" w:hAnsi="Times New Roman"/>
          <w:sz w:val="24"/>
          <w:szCs w:val="24"/>
        </w:rPr>
        <w:t>68.668,96</w:t>
      </w:r>
      <w:r>
        <w:rPr>
          <w:rFonts w:ascii="Times New Roman" w:hAnsi="Times New Roman"/>
          <w:sz w:val="24"/>
          <w:szCs w:val="24"/>
        </w:rPr>
        <w:t xml:space="preserve"> EUR),</w:t>
      </w:r>
    </w:p>
    <w:p w:rsidR="00782922" w:rsidRDefault="00782922" w:rsidP="00782922">
      <w:pPr>
        <w:tabs>
          <w:tab w:val="left" w:pos="240"/>
          <w:tab w:val="left" w:pos="5895"/>
        </w:tabs>
        <w:jc w:val="both"/>
        <w:rPr>
          <w:bCs/>
        </w:rPr>
      </w:pPr>
      <w:r>
        <w:rPr>
          <w:bCs/>
        </w:rPr>
        <w:t xml:space="preserve">- sufinanciranje Općine Marčana prema socijalnom programu </w:t>
      </w:r>
      <w:r w:rsidR="004A52A0">
        <w:rPr>
          <w:bCs/>
        </w:rPr>
        <w:t>7.744,62</w:t>
      </w:r>
      <w:r>
        <w:rPr>
          <w:bCs/>
        </w:rPr>
        <w:t xml:space="preserve"> EUR (ostvarenje prethodne godine </w:t>
      </w:r>
      <w:r w:rsidR="004A52A0">
        <w:rPr>
          <w:bCs/>
        </w:rPr>
        <w:t>7.588,18</w:t>
      </w:r>
      <w:r>
        <w:rPr>
          <w:bCs/>
        </w:rPr>
        <w:t xml:space="preserve"> EUR ) i</w:t>
      </w:r>
    </w:p>
    <w:p w:rsidR="00782922" w:rsidRDefault="00782922" w:rsidP="00782922">
      <w:pPr>
        <w:tabs>
          <w:tab w:val="left" w:pos="240"/>
          <w:tab w:val="left" w:pos="5895"/>
        </w:tabs>
        <w:jc w:val="both"/>
        <w:rPr>
          <w:bCs/>
        </w:rPr>
      </w:pPr>
      <w:r>
        <w:rPr>
          <w:bCs/>
        </w:rPr>
        <w:t xml:space="preserve">            </w:t>
      </w:r>
      <w:r>
        <w:rPr>
          <w:b/>
          <w:bCs/>
        </w:rPr>
        <w:t>Prihodi od prodaje proizvoda i roba te pruženih usluga i prihodi od donacija (66) u izvještajnom razdoblju ostvareni su u iznosu od 8.051,71 EUR</w:t>
      </w:r>
      <w:r>
        <w:rPr>
          <w:bCs/>
        </w:rPr>
        <w:t xml:space="preserve">, i odnose se na </w:t>
      </w:r>
    </w:p>
    <w:p w:rsidR="00782922" w:rsidRPr="004C3070" w:rsidRDefault="00782922" w:rsidP="00782922">
      <w:pPr>
        <w:tabs>
          <w:tab w:val="left" w:pos="240"/>
          <w:tab w:val="left" w:pos="5895"/>
        </w:tabs>
        <w:jc w:val="both"/>
        <w:rPr>
          <w:bCs/>
        </w:rPr>
      </w:pPr>
      <w:r>
        <w:rPr>
          <w:bCs/>
        </w:rPr>
        <w:t xml:space="preserve">-prihode od pruženih usluga – učenje engleskog jezika </w:t>
      </w:r>
      <w:r w:rsidR="004A52A0">
        <w:rPr>
          <w:bCs/>
        </w:rPr>
        <w:t>720,00</w:t>
      </w:r>
      <w:r>
        <w:rPr>
          <w:bCs/>
        </w:rPr>
        <w:t xml:space="preserve"> EUR</w:t>
      </w:r>
      <w:r>
        <w:rPr>
          <w:b/>
          <w:bCs/>
        </w:rPr>
        <w:t xml:space="preserve"> </w:t>
      </w:r>
      <w:r w:rsidRPr="004C3070">
        <w:rPr>
          <w:bCs/>
        </w:rPr>
        <w:t>i</w:t>
      </w:r>
    </w:p>
    <w:p w:rsidR="00782922" w:rsidRPr="004C3070" w:rsidRDefault="00782922" w:rsidP="00782922">
      <w:pPr>
        <w:tabs>
          <w:tab w:val="left" w:pos="240"/>
          <w:tab w:val="left" w:pos="5895"/>
        </w:tabs>
        <w:jc w:val="both"/>
        <w:rPr>
          <w:bCs/>
        </w:rPr>
      </w:pPr>
      <w:r w:rsidRPr="004C3070">
        <w:rPr>
          <w:bCs/>
        </w:rPr>
        <w:t xml:space="preserve">-prihode od pruženih usluga pripreme i dostave hrane ostvareni u iznosu od </w:t>
      </w:r>
      <w:r w:rsidR="004A52A0">
        <w:rPr>
          <w:bCs/>
        </w:rPr>
        <w:t>28.237,80</w:t>
      </w:r>
      <w:r w:rsidRPr="004C3070">
        <w:rPr>
          <w:bCs/>
        </w:rPr>
        <w:t xml:space="preserve"> EUR, </w:t>
      </w:r>
      <w:r w:rsidR="004A52A0">
        <w:rPr>
          <w:bCs/>
        </w:rPr>
        <w:t xml:space="preserve">(ostvarenje prethodne godine 5.438,40 EUR jer je </w:t>
      </w:r>
      <w:r w:rsidRPr="004C3070">
        <w:rPr>
          <w:bCs/>
        </w:rPr>
        <w:t xml:space="preserve">usluga započela od 01. </w:t>
      </w:r>
      <w:r>
        <w:rPr>
          <w:bCs/>
        </w:rPr>
        <w:t>l</w:t>
      </w:r>
      <w:r w:rsidRPr="004C3070">
        <w:rPr>
          <w:bCs/>
        </w:rPr>
        <w:t xml:space="preserve">istopada 2023. </w:t>
      </w:r>
      <w:r w:rsidR="004A52A0">
        <w:rPr>
          <w:bCs/>
        </w:rPr>
        <w:t>g</w:t>
      </w:r>
      <w:r w:rsidRPr="004C3070">
        <w:rPr>
          <w:bCs/>
        </w:rPr>
        <w:t>odine</w:t>
      </w:r>
      <w:r w:rsidR="004A52A0">
        <w:rPr>
          <w:bCs/>
        </w:rPr>
        <w:t>)</w:t>
      </w:r>
      <w:r w:rsidRPr="004C3070">
        <w:rPr>
          <w:bCs/>
        </w:rPr>
        <w:t>,</w:t>
      </w:r>
    </w:p>
    <w:p w:rsidR="00782922" w:rsidRDefault="00782922" w:rsidP="00782922">
      <w:pPr>
        <w:tabs>
          <w:tab w:val="left" w:pos="240"/>
          <w:tab w:val="left" w:pos="5895"/>
        </w:tabs>
        <w:jc w:val="both"/>
        <w:rPr>
          <w:bCs/>
        </w:rPr>
      </w:pPr>
      <w:r>
        <w:rPr>
          <w:bCs/>
        </w:rPr>
        <w:t xml:space="preserve">           </w:t>
      </w:r>
      <w:r>
        <w:rPr>
          <w:b/>
          <w:bCs/>
        </w:rPr>
        <w:t xml:space="preserve">Prihodi iz proračuna (67) ostvareni su u iznosu od </w:t>
      </w:r>
      <w:r w:rsidR="004A52A0">
        <w:rPr>
          <w:b/>
          <w:bCs/>
        </w:rPr>
        <w:t>513.820,81</w:t>
      </w:r>
      <w:r>
        <w:rPr>
          <w:b/>
          <w:bCs/>
        </w:rPr>
        <w:t xml:space="preserve"> EUR </w:t>
      </w:r>
      <w:r w:rsidRPr="00C11A9C">
        <w:rPr>
          <w:bCs/>
        </w:rPr>
        <w:t xml:space="preserve">(ostvarenje prethodne godine </w:t>
      </w:r>
      <w:r w:rsidR="004A52A0">
        <w:rPr>
          <w:bCs/>
        </w:rPr>
        <w:t>373.435,38</w:t>
      </w:r>
      <w:r w:rsidRPr="00C11A9C">
        <w:rPr>
          <w:bCs/>
        </w:rPr>
        <w:t xml:space="preserve"> EUR), za financiranje rashoda poslovanja za zaposlene (plaće, </w:t>
      </w:r>
      <w:r w:rsidRPr="00C11A9C">
        <w:rPr>
          <w:bCs/>
        </w:rPr>
        <w:lastRenderedPageBreak/>
        <w:t>materijalni rashodi zaposlenika i naknade za rad upravnog vijeća, materijalne</w:t>
      </w:r>
      <w:r>
        <w:rPr>
          <w:bCs/>
        </w:rPr>
        <w:t xml:space="preserve"> rashode, te za sufinanciranje programa božićnog darivanja predškolske djece).  </w:t>
      </w:r>
    </w:p>
    <w:p w:rsidR="00782922" w:rsidRPr="00431FFE" w:rsidRDefault="00782922" w:rsidP="00782922">
      <w:pPr>
        <w:jc w:val="both"/>
      </w:pPr>
      <w:r>
        <w:rPr>
          <w:bCs/>
        </w:rPr>
        <w:t xml:space="preserve">         </w:t>
      </w:r>
      <w:r w:rsidRPr="00431FFE">
        <w:t>Prihodi od nadležnog proračuna u 202</w:t>
      </w:r>
      <w:r w:rsidR="004A52A0">
        <w:t>4</w:t>
      </w:r>
      <w:r w:rsidRPr="00431FFE">
        <w:t>. godini ostvareni su u nešto većem iznosu nego prethodne godine, uglavnom iz razloga što je povećana osnovica za plaće te naknada za topli obrok, a i veći je broj zaposlenih, pa su tako prihodi  veći za 1</w:t>
      </w:r>
      <w:r>
        <w:t>5</w:t>
      </w:r>
      <w:r w:rsidRPr="00431FFE">
        <w:t>%</w:t>
      </w:r>
      <w:r>
        <w:t xml:space="preserve">. </w:t>
      </w:r>
      <w:r>
        <w:rPr>
          <w:bCs/>
        </w:rPr>
        <w:t xml:space="preserve">Rast </w:t>
      </w:r>
      <w:r>
        <w:t>cijena prehrambenih proizvoda, kao i materijala za čišćenje i održavanje i higijensku  njegu uvjetovalo je povećanja izdvajanja sredstava Općine Marčana, jer se uvidjelo tijekom 2023.godine da vlastita sredstva Dječjeg vrtića  nisu dostatna.</w:t>
      </w:r>
    </w:p>
    <w:p w:rsidR="00782922" w:rsidRDefault="00782922" w:rsidP="00782922">
      <w:pPr>
        <w:tabs>
          <w:tab w:val="left" w:pos="240"/>
          <w:tab w:val="left" w:pos="5895"/>
        </w:tabs>
        <w:jc w:val="both"/>
        <w:rPr>
          <w:rFonts w:eastAsia="Calibri"/>
        </w:rPr>
      </w:pPr>
      <w:r>
        <w:rPr>
          <w:bCs/>
        </w:rPr>
        <w:t xml:space="preserve"> </w:t>
      </w:r>
    </w:p>
    <w:p w:rsidR="00782922" w:rsidRPr="00C11A9C" w:rsidRDefault="00782922" w:rsidP="00782922">
      <w:pPr>
        <w:tabs>
          <w:tab w:val="left" w:pos="240"/>
          <w:tab w:val="left" w:pos="5895"/>
        </w:tabs>
        <w:rPr>
          <w:rFonts w:eastAsia="Calibri"/>
        </w:rPr>
      </w:pPr>
      <w:r>
        <w:rPr>
          <w:rFonts w:eastAsia="Calibri"/>
        </w:rPr>
        <w:t xml:space="preserve"> </w:t>
      </w:r>
    </w:p>
    <w:p w:rsidR="00782922" w:rsidRPr="005010D1" w:rsidRDefault="00782922" w:rsidP="00782922">
      <w:pPr>
        <w:jc w:val="both"/>
        <w:rPr>
          <w:rFonts w:ascii="Calibri" w:hAnsi="Calibri" w:cs="Calibri"/>
          <w:b/>
          <w:i/>
          <w:color w:val="000000"/>
          <w:sz w:val="20"/>
          <w:szCs w:val="20"/>
        </w:rPr>
      </w:pPr>
      <w:r w:rsidRPr="005010D1">
        <w:rPr>
          <w:b/>
        </w:rPr>
        <w:t xml:space="preserve">Potraživanja za prihode po posebnim propisima i pružene usluge u ukupnom iznosu od </w:t>
      </w:r>
      <w:r w:rsidR="004A52A0">
        <w:rPr>
          <w:b/>
        </w:rPr>
        <w:t>11.678,16 EUR</w:t>
      </w:r>
      <w:r w:rsidRPr="005010D1">
        <w:rPr>
          <w:b/>
        </w:rPr>
        <w:t xml:space="preserve"> imaju slijedeću strukturu.</w:t>
      </w:r>
    </w:p>
    <w:tbl>
      <w:tblPr>
        <w:tblW w:w="9661" w:type="dxa"/>
        <w:tblInd w:w="-186" w:type="dxa"/>
        <w:tblLayout w:type="fixed"/>
        <w:tblLook w:val="0000" w:firstRow="0" w:lastRow="0" w:firstColumn="0" w:lastColumn="0" w:noHBand="0" w:noVBand="0"/>
      </w:tblPr>
      <w:tblGrid>
        <w:gridCol w:w="5672"/>
        <w:gridCol w:w="1417"/>
        <w:gridCol w:w="1276"/>
        <w:gridCol w:w="1296"/>
      </w:tblGrid>
      <w:tr w:rsidR="00782922" w:rsidTr="00A20708">
        <w:trPr>
          <w:trHeight w:val="253"/>
        </w:trPr>
        <w:tc>
          <w:tcPr>
            <w:tcW w:w="56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82922" w:rsidRPr="00C11A9C" w:rsidRDefault="00782922" w:rsidP="00A20708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C11A9C">
              <w:rPr>
                <w:b/>
                <w:i/>
                <w:color w:val="000000"/>
                <w:sz w:val="20"/>
                <w:szCs w:val="20"/>
              </w:rPr>
              <w:t>Vrsta potraživanja</w:t>
            </w:r>
          </w:p>
        </w:tc>
        <w:tc>
          <w:tcPr>
            <w:tcW w:w="1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82922" w:rsidRPr="00C11A9C" w:rsidRDefault="00782922" w:rsidP="00A20708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C11A9C">
              <w:rPr>
                <w:b/>
                <w:i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82922" w:rsidRPr="00C11A9C" w:rsidRDefault="00782922" w:rsidP="00A20708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C11A9C">
              <w:rPr>
                <w:b/>
                <w:i/>
                <w:color w:val="000000"/>
                <w:sz w:val="20"/>
                <w:szCs w:val="20"/>
              </w:rPr>
              <w:t>Nedospjelo</w:t>
            </w:r>
          </w:p>
        </w:tc>
        <w:tc>
          <w:tcPr>
            <w:tcW w:w="12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782922" w:rsidRPr="00C11A9C" w:rsidRDefault="00782922" w:rsidP="00A20708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C11A9C">
              <w:rPr>
                <w:b/>
                <w:i/>
                <w:color w:val="000000"/>
                <w:sz w:val="20"/>
                <w:szCs w:val="20"/>
              </w:rPr>
              <w:t>Dospjelo</w:t>
            </w:r>
          </w:p>
        </w:tc>
      </w:tr>
      <w:tr w:rsidR="00782922" w:rsidTr="00A20708">
        <w:trPr>
          <w:trHeight w:val="253"/>
        </w:trPr>
        <w:tc>
          <w:tcPr>
            <w:tcW w:w="567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82922" w:rsidRPr="00C11A9C" w:rsidRDefault="00782922" w:rsidP="00A20708">
            <w:pPr>
              <w:rPr>
                <w:color w:val="000000"/>
                <w:sz w:val="20"/>
                <w:szCs w:val="20"/>
              </w:rPr>
            </w:pPr>
            <w:r w:rsidRPr="00C11A9C">
              <w:rPr>
                <w:color w:val="000000"/>
                <w:sz w:val="20"/>
                <w:szCs w:val="20"/>
              </w:rPr>
              <w:t>Boravak roditelji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82922" w:rsidRPr="00C11A9C" w:rsidRDefault="009F5E0E" w:rsidP="00A2070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7.912,90</w:t>
            </w:r>
          </w:p>
        </w:tc>
        <w:tc>
          <w:tcPr>
            <w:tcW w:w="12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82922" w:rsidRPr="00C11A9C" w:rsidRDefault="009F5E0E" w:rsidP="00A2070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7.401,31</w:t>
            </w:r>
          </w:p>
        </w:tc>
        <w:tc>
          <w:tcPr>
            <w:tcW w:w="129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782922" w:rsidRPr="00C11A9C" w:rsidRDefault="009F5E0E" w:rsidP="00A2070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511,59</w:t>
            </w:r>
          </w:p>
        </w:tc>
      </w:tr>
      <w:tr w:rsidR="00782922" w:rsidTr="00A20708">
        <w:trPr>
          <w:trHeight w:val="253"/>
        </w:trPr>
        <w:tc>
          <w:tcPr>
            <w:tcW w:w="567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82922" w:rsidRPr="00C11A9C" w:rsidRDefault="00782922" w:rsidP="00A20708">
            <w:pPr>
              <w:rPr>
                <w:color w:val="000000"/>
                <w:sz w:val="20"/>
                <w:szCs w:val="20"/>
              </w:rPr>
            </w:pPr>
            <w:r w:rsidRPr="00C11A9C">
              <w:rPr>
                <w:color w:val="000000"/>
                <w:sz w:val="20"/>
                <w:szCs w:val="20"/>
              </w:rPr>
              <w:t>Općina Marčana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82922" w:rsidRPr="00C11A9C" w:rsidRDefault="009F5E0E" w:rsidP="00A2070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867,26</w:t>
            </w:r>
          </w:p>
        </w:tc>
        <w:tc>
          <w:tcPr>
            <w:tcW w:w="12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82922" w:rsidRPr="00C11A9C" w:rsidRDefault="009F5E0E" w:rsidP="00A2070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867,26</w:t>
            </w:r>
          </w:p>
        </w:tc>
        <w:tc>
          <w:tcPr>
            <w:tcW w:w="129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782922" w:rsidRPr="00C11A9C" w:rsidRDefault="009F5E0E" w:rsidP="00A2070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F5E0E" w:rsidTr="00A20708">
        <w:trPr>
          <w:trHeight w:val="253"/>
        </w:trPr>
        <w:tc>
          <w:tcPr>
            <w:tcW w:w="567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9F5E0E" w:rsidRPr="00C11A9C" w:rsidRDefault="009F5E0E" w:rsidP="00A20708">
            <w:pPr>
              <w:rPr>
                <w:color w:val="000000"/>
                <w:sz w:val="20"/>
                <w:szCs w:val="20"/>
              </w:rPr>
            </w:pPr>
            <w:r w:rsidRPr="00C11A9C">
              <w:rPr>
                <w:color w:val="000000"/>
                <w:sz w:val="20"/>
                <w:szCs w:val="20"/>
              </w:rPr>
              <w:t>Potraživanje JLP®S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9F5E0E" w:rsidRPr="00C11A9C" w:rsidRDefault="009F5E0E" w:rsidP="00A2070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1.110,00</w:t>
            </w:r>
          </w:p>
        </w:tc>
        <w:tc>
          <w:tcPr>
            <w:tcW w:w="12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9F5E0E" w:rsidRPr="00C11A9C" w:rsidRDefault="009F5E0E" w:rsidP="009231A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1.110,00</w:t>
            </w:r>
          </w:p>
        </w:tc>
        <w:tc>
          <w:tcPr>
            <w:tcW w:w="129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9F5E0E" w:rsidRPr="00C11A9C" w:rsidRDefault="009F5E0E" w:rsidP="00A2070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F5E0E" w:rsidTr="00A20708">
        <w:trPr>
          <w:trHeight w:val="253"/>
        </w:trPr>
        <w:tc>
          <w:tcPr>
            <w:tcW w:w="5672" w:type="dxa"/>
            <w:tcBorders>
              <w:left w:val="single" w:sz="8" w:space="0" w:color="808080"/>
            </w:tcBorders>
            <w:shd w:val="clear" w:color="auto" w:fill="auto"/>
            <w:vAlign w:val="center"/>
          </w:tcPr>
          <w:p w:rsidR="009F5E0E" w:rsidRPr="00C11A9C" w:rsidRDefault="009F5E0E" w:rsidP="00A20708">
            <w:pPr>
              <w:rPr>
                <w:color w:val="000000"/>
                <w:sz w:val="20"/>
                <w:szCs w:val="20"/>
              </w:rPr>
            </w:pPr>
            <w:r w:rsidRPr="00C11A9C">
              <w:rPr>
                <w:color w:val="000000"/>
                <w:sz w:val="20"/>
                <w:szCs w:val="20"/>
              </w:rPr>
              <w:t xml:space="preserve">Potraživanje za uslugu pripremu i dostavu hrane 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9F5E0E" w:rsidRPr="00C11A9C" w:rsidRDefault="009F5E0E" w:rsidP="00A2070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1.788,00</w:t>
            </w:r>
          </w:p>
        </w:tc>
        <w:tc>
          <w:tcPr>
            <w:tcW w:w="1276" w:type="dxa"/>
            <w:tcBorders>
              <w:left w:val="single" w:sz="8" w:space="0" w:color="808080"/>
            </w:tcBorders>
            <w:shd w:val="clear" w:color="auto" w:fill="auto"/>
            <w:vAlign w:val="center"/>
          </w:tcPr>
          <w:p w:rsidR="009F5E0E" w:rsidRPr="00C11A9C" w:rsidRDefault="009F5E0E" w:rsidP="009231A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1.788,00</w:t>
            </w:r>
          </w:p>
        </w:tc>
        <w:tc>
          <w:tcPr>
            <w:tcW w:w="1296" w:type="dxa"/>
            <w:tcBorders>
              <w:left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9F5E0E" w:rsidRPr="00C11A9C" w:rsidRDefault="009F5E0E" w:rsidP="00A2070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2922" w:rsidTr="00A20708">
        <w:trPr>
          <w:trHeight w:val="276"/>
        </w:trPr>
        <w:tc>
          <w:tcPr>
            <w:tcW w:w="5672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82922" w:rsidRPr="00C11A9C" w:rsidRDefault="00782922" w:rsidP="00A20708">
            <w:pPr>
              <w:rPr>
                <w:color w:val="000000"/>
                <w:sz w:val="20"/>
                <w:szCs w:val="20"/>
              </w:rPr>
            </w:pPr>
            <w:r w:rsidRPr="00C11A9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17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82922" w:rsidRPr="00C11A9C" w:rsidRDefault="004A52A0" w:rsidP="00A2070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11.678,16</w:t>
            </w:r>
          </w:p>
        </w:tc>
        <w:tc>
          <w:tcPr>
            <w:tcW w:w="1276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82922" w:rsidRPr="00C11A9C" w:rsidRDefault="009F5E0E" w:rsidP="00A2070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/>
            </w:r>
            <w:r>
              <w:rPr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noProof/>
                <w:color w:val="000000"/>
                <w:sz w:val="20"/>
                <w:szCs w:val="20"/>
              </w:rPr>
              <w:t>11.166,57</w:t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96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782922" w:rsidRPr="00C11A9C" w:rsidRDefault="009F5E0E" w:rsidP="00A2070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511,59</w:t>
            </w:r>
          </w:p>
        </w:tc>
      </w:tr>
      <w:tr w:rsidR="00782922" w:rsidTr="00EB3FB9">
        <w:trPr>
          <w:trHeight w:val="230"/>
        </w:trPr>
        <w:tc>
          <w:tcPr>
            <w:tcW w:w="5672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82922" w:rsidRDefault="00782922" w:rsidP="00A20708">
            <w:pPr>
              <w:snapToGrid w:val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82922" w:rsidRDefault="00782922" w:rsidP="00A2070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82922" w:rsidRDefault="00782922" w:rsidP="00A2070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782922" w:rsidRDefault="00782922" w:rsidP="00A2070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82922" w:rsidRDefault="00782922" w:rsidP="00782922">
      <w:pPr>
        <w:jc w:val="both"/>
      </w:pPr>
    </w:p>
    <w:p w:rsidR="00782922" w:rsidRDefault="00782922" w:rsidP="00782922">
      <w:pPr>
        <w:jc w:val="both"/>
      </w:pPr>
      <w:r>
        <w:t xml:space="preserve">            Dospjela potraživanja u iznosu od </w:t>
      </w:r>
      <w:r w:rsidR="009F5E0E">
        <w:t>511,59</w:t>
      </w:r>
      <w:r>
        <w:t xml:space="preserve">  kuna   zaduženja su iz 2023. godine, i prema dospjelosti imaju slijedeću strukturu:</w:t>
      </w:r>
    </w:p>
    <w:p w:rsidR="00782922" w:rsidRDefault="00782922" w:rsidP="00782922">
      <w:pPr>
        <w:jc w:val="both"/>
      </w:pPr>
      <w:r>
        <w:t>-dospijeće 18.1</w:t>
      </w:r>
      <w:r w:rsidR="009F5E0E">
        <w:t>1</w:t>
      </w:r>
      <w:r>
        <w:t>.202</w:t>
      </w:r>
      <w:r w:rsidR="009F5E0E">
        <w:t>4</w:t>
      </w:r>
      <w:r>
        <w:t>.=</w:t>
      </w:r>
      <w:r w:rsidR="009F5E0E">
        <w:t>38,99</w:t>
      </w:r>
      <w:r>
        <w:t xml:space="preserve"> EUR</w:t>
      </w:r>
    </w:p>
    <w:p w:rsidR="00782922" w:rsidRPr="009F5E0E" w:rsidRDefault="009F5E0E" w:rsidP="00782922">
      <w:pPr>
        <w:tabs>
          <w:tab w:val="left" w:pos="240"/>
          <w:tab w:val="left" w:pos="5895"/>
        </w:tabs>
        <w:rPr>
          <w:bCs/>
        </w:rPr>
      </w:pPr>
      <w:r>
        <w:rPr>
          <w:b/>
          <w:bCs/>
        </w:rPr>
        <w:t>-</w:t>
      </w:r>
      <w:r w:rsidRPr="009F5E0E">
        <w:rPr>
          <w:bCs/>
        </w:rPr>
        <w:t>dospijeće 18.12.2024. =</w:t>
      </w:r>
      <w:r>
        <w:rPr>
          <w:bCs/>
        </w:rPr>
        <w:t>472,60 EUR.</w:t>
      </w:r>
    </w:p>
    <w:p w:rsidR="00782922" w:rsidRDefault="00782922" w:rsidP="00782922">
      <w:pPr>
        <w:tabs>
          <w:tab w:val="left" w:pos="240"/>
          <w:tab w:val="left" w:pos="5895"/>
        </w:tabs>
        <w:rPr>
          <w:b/>
          <w:bCs/>
        </w:rPr>
      </w:pPr>
    </w:p>
    <w:p w:rsidR="00782922" w:rsidRDefault="00782922" w:rsidP="00782922">
      <w:pPr>
        <w:tabs>
          <w:tab w:val="left" w:pos="240"/>
          <w:tab w:val="left" w:pos="5895"/>
        </w:tabs>
        <w:rPr>
          <w:b/>
          <w:bCs/>
        </w:rPr>
      </w:pPr>
    </w:p>
    <w:p w:rsidR="00782922" w:rsidRDefault="00782922" w:rsidP="00782922">
      <w:pPr>
        <w:tabs>
          <w:tab w:val="left" w:pos="240"/>
          <w:tab w:val="left" w:pos="5895"/>
        </w:tabs>
        <w:rPr>
          <w:b/>
          <w:bCs/>
        </w:rPr>
      </w:pPr>
      <w:r>
        <w:rPr>
          <w:b/>
          <w:bCs/>
        </w:rPr>
        <w:t>II.2. Rashodi/izdaci</w:t>
      </w:r>
    </w:p>
    <w:p w:rsidR="00782922" w:rsidRDefault="00782922" w:rsidP="00782922">
      <w:pPr>
        <w:tabs>
          <w:tab w:val="left" w:pos="5895"/>
        </w:tabs>
        <w:jc w:val="both"/>
        <w:rPr>
          <w:bCs/>
        </w:rPr>
      </w:pPr>
      <w:r>
        <w:rPr>
          <w:b/>
          <w:bCs/>
        </w:rPr>
        <w:t xml:space="preserve">         </w:t>
      </w:r>
      <w:r>
        <w:rPr>
          <w:bCs/>
        </w:rPr>
        <w:t>Ukupni rashodi poslovanja u 202</w:t>
      </w:r>
      <w:r w:rsidR="009F5E0E">
        <w:rPr>
          <w:bCs/>
        </w:rPr>
        <w:t>4</w:t>
      </w:r>
      <w:r>
        <w:rPr>
          <w:bCs/>
        </w:rPr>
        <w:t xml:space="preserve">. godini ostvareni su u iznosu od </w:t>
      </w:r>
      <w:r w:rsidR="009F5E0E">
        <w:rPr>
          <w:bCs/>
        </w:rPr>
        <w:t>643.350,68 EUR</w:t>
      </w:r>
      <w:r>
        <w:rPr>
          <w:bCs/>
        </w:rPr>
        <w:t xml:space="preserve"> i bilježe povećanje od </w:t>
      </w:r>
      <w:r w:rsidR="009F5E0E">
        <w:rPr>
          <w:bCs/>
        </w:rPr>
        <w:t>38,4</w:t>
      </w:r>
      <w:r>
        <w:rPr>
          <w:bCs/>
        </w:rPr>
        <w:t>% ostvarenja u odnosu na ostvarenje prethodne 202</w:t>
      </w:r>
      <w:r w:rsidR="009F5E0E">
        <w:rPr>
          <w:bCs/>
        </w:rPr>
        <w:t>3</w:t>
      </w:r>
      <w:r>
        <w:rPr>
          <w:bCs/>
        </w:rPr>
        <w:t xml:space="preserve">. godine </w:t>
      </w:r>
      <w:r w:rsidR="009F5E0E">
        <w:rPr>
          <w:bCs/>
        </w:rPr>
        <w:t>.</w:t>
      </w:r>
    </w:p>
    <w:p w:rsidR="00782922" w:rsidRDefault="00782922" w:rsidP="00782922">
      <w:pPr>
        <w:tabs>
          <w:tab w:val="left" w:pos="5895"/>
        </w:tabs>
        <w:jc w:val="both"/>
        <w:rPr>
          <w:bCs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960"/>
        <w:gridCol w:w="2599"/>
        <w:gridCol w:w="851"/>
        <w:gridCol w:w="1275"/>
        <w:gridCol w:w="1418"/>
        <w:gridCol w:w="992"/>
        <w:gridCol w:w="992"/>
      </w:tblGrid>
      <w:tr w:rsidR="009F5E0E" w:rsidRPr="009F5E0E" w:rsidTr="009F5E0E">
        <w:trPr>
          <w:trHeight w:val="495"/>
        </w:trPr>
        <w:tc>
          <w:tcPr>
            <w:tcW w:w="9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color w:val="000000"/>
                <w:sz w:val="18"/>
                <w:szCs w:val="18"/>
                <w:lang w:eastAsia="hr-HR"/>
              </w:rPr>
              <w:t xml:space="preserve">Račun iz </w:t>
            </w:r>
            <w:proofErr w:type="spellStart"/>
            <w:r w:rsidRPr="009F5E0E">
              <w:rPr>
                <w:color w:val="000000"/>
                <w:sz w:val="18"/>
                <w:szCs w:val="18"/>
                <w:lang w:eastAsia="hr-HR"/>
              </w:rPr>
              <w:t>rač</w:t>
            </w:r>
            <w:proofErr w:type="spellEnd"/>
            <w:r w:rsidRPr="009F5E0E">
              <w:rPr>
                <w:color w:val="000000"/>
                <w:sz w:val="18"/>
                <w:szCs w:val="18"/>
                <w:lang w:eastAsia="hr-HR"/>
              </w:rPr>
              <w:t xml:space="preserve"> plana</w:t>
            </w:r>
          </w:p>
        </w:tc>
        <w:tc>
          <w:tcPr>
            <w:tcW w:w="259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color w:val="000000"/>
                <w:sz w:val="18"/>
                <w:szCs w:val="18"/>
                <w:lang w:eastAsia="hr-HR"/>
              </w:rPr>
              <w:t>VRSTA  RASHODA</w:t>
            </w:r>
          </w:p>
        </w:tc>
        <w:tc>
          <w:tcPr>
            <w:tcW w:w="85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9F5E0E">
              <w:rPr>
                <w:color w:val="000000"/>
                <w:sz w:val="18"/>
                <w:szCs w:val="18"/>
                <w:lang w:eastAsia="hr-HR"/>
              </w:rPr>
              <w:t>Šfra</w:t>
            </w:r>
            <w:proofErr w:type="spellEnd"/>
            <w:r w:rsidRPr="009F5E0E">
              <w:rPr>
                <w:color w:val="000000"/>
                <w:sz w:val="18"/>
                <w:szCs w:val="18"/>
                <w:lang w:eastAsia="hr-HR"/>
              </w:rPr>
              <w:t xml:space="preserve"> obrasca</w:t>
            </w:r>
          </w:p>
        </w:tc>
        <w:tc>
          <w:tcPr>
            <w:tcW w:w="12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color w:val="000000"/>
                <w:sz w:val="18"/>
                <w:szCs w:val="18"/>
                <w:lang w:eastAsia="hr-HR"/>
              </w:rPr>
              <w:t>Ostvarenje 2023.</w:t>
            </w:r>
          </w:p>
        </w:tc>
        <w:tc>
          <w:tcPr>
            <w:tcW w:w="1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color w:val="000000"/>
                <w:sz w:val="18"/>
                <w:szCs w:val="18"/>
                <w:lang w:eastAsia="hr-HR"/>
              </w:rPr>
              <w:t>Ostvarenje 2024.</w:t>
            </w:r>
          </w:p>
        </w:tc>
        <w:tc>
          <w:tcPr>
            <w:tcW w:w="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color w:val="000000"/>
                <w:sz w:val="18"/>
                <w:szCs w:val="18"/>
                <w:lang w:eastAsia="hr-HR"/>
              </w:rPr>
              <w:t>Indeks 2024/2023</w:t>
            </w:r>
          </w:p>
        </w:tc>
        <w:tc>
          <w:tcPr>
            <w:tcW w:w="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color w:val="000000"/>
                <w:sz w:val="18"/>
                <w:szCs w:val="18"/>
                <w:lang w:eastAsia="hr-HR"/>
              </w:rPr>
              <w:t xml:space="preserve">Udio </w:t>
            </w:r>
            <w:proofErr w:type="spellStart"/>
            <w:r w:rsidRPr="009F5E0E">
              <w:rPr>
                <w:color w:val="000000"/>
                <w:sz w:val="18"/>
                <w:szCs w:val="18"/>
                <w:lang w:eastAsia="hr-HR"/>
              </w:rPr>
              <w:t>ostv</w:t>
            </w:r>
            <w:proofErr w:type="spellEnd"/>
            <w:r w:rsidRPr="009F5E0E">
              <w:rPr>
                <w:color w:val="000000"/>
                <w:sz w:val="18"/>
                <w:szCs w:val="18"/>
                <w:lang w:eastAsia="hr-HR"/>
              </w:rPr>
              <w:t>. 2024.  %</w:t>
            </w:r>
          </w:p>
        </w:tc>
      </w:tr>
      <w:tr w:rsidR="009F5E0E" w:rsidRPr="009F5E0E" w:rsidTr="009F5E0E">
        <w:trPr>
          <w:trHeight w:val="269"/>
        </w:trPr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C0C0C0"/>
            <w:vAlign w:val="center"/>
            <w:hideMark/>
          </w:tcPr>
          <w:p w:rsidR="009F5E0E" w:rsidRPr="009F5E0E" w:rsidRDefault="009F5E0E" w:rsidP="009F5E0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b/>
                <w:bCs/>
                <w:color w:val="000000"/>
                <w:sz w:val="18"/>
                <w:szCs w:val="18"/>
                <w:lang w:eastAsia="hr-HR"/>
              </w:rPr>
              <w:t>3,4</w:t>
            </w:r>
          </w:p>
        </w:tc>
        <w:tc>
          <w:tcPr>
            <w:tcW w:w="259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C0C0C0"/>
            <w:vAlign w:val="center"/>
            <w:hideMark/>
          </w:tcPr>
          <w:p w:rsidR="009F5E0E" w:rsidRPr="009F5E0E" w:rsidRDefault="009F5E0E" w:rsidP="009F5E0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b/>
                <w:bCs/>
                <w:color w:val="000000"/>
                <w:sz w:val="18"/>
                <w:szCs w:val="18"/>
                <w:lang w:eastAsia="hr-HR"/>
              </w:rPr>
              <w:t>Ukupno rashodi poslovanja</w:t>
            </w:r>
          </w:p>
        </w:tc>
        <w:tc>
          <w:tcPr>
            <w:tcW w:w="85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C0C0C0"/>
            <w:vAlign w:val="center"/>
            <w:hideMark/>
          </w:tcPr>
          <w:p w:rsidR="009F5E0E" w:rsidRPr="009F5E0E" w:rsidRDefault="009F5E0E" w:rsidP="009F5E0E">
            <w:pPr>
              <w:suppressAutoHyphens w:val="0"/>
              <w:rPr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Y345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C0C0C0"/>
            <w:vAlign w:val="center"/>
            <w:hideMark/>
          </w:tcPr>
          <w:p w:rsidR="009F5E0E" w:rsidRPr="009F5E0E" w:rsidRDefault="009F5E0E" w:rsidP="009F5E0E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b/>
                <w:bCs/>
                <w:color w:val="000000"/>
                <w:sz w:val="18"/>
                <w:szCs w:val="18"/>
                <w:lang w:eastAsia="hr-HR"/>
              </w:rPr>
              <w:t>464.843,41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C0C0C0"/>
            <w:vAlign w:val="center"/>
            <w:hideMark/>
          </w:tcPr>
          <w:p w:rsidR="009F5E0E" w:rsidRPr="009F5E0E" w:rsidRDefault="009F5E0E" w:rsidP="009F5E0E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b/>
                <w:bCs/>
                <w:color w:val="000000"/>
                <w:sz w:val="18"/>
                <w:szCs w:val="18"/>
                <w:lang w:eastAsia="hr-HR"/>
              </w:rPr>
              <w:t>643.350,68</w:t>
            </w:r>
          </w:p>
        </w:tc>
        <w:tc>
          <w:tcPr>
            <w:tcW w:w="992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C0C0C0"/>
            <w:vAlign w:val="center"/>
            <w:hideMark/>
          </w:tcPr>
          <w:p w:rsidR="009F5E0E" w:rsidRPr="009F5E0E" w:rsidRDefault="009F5E0E" w:rsidP="009F5E0E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b/>
                <w:bCs/>
                <w:color w:val="000000"/>
                <w:sz w:val="18"/>
                <w:szCs w:val="18"/>
                <w:lang w:eastAsia="hr-HR"/>
              </w:rPr>
              <w:t>138,40%</w:t>
            </w:r>
          </w:p>
        </w:tc>
        <w:tc>
          <w:tcPr>
            <w:tcW w:w="992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C0C0C0"/>
            <w:vAlign w:val="center"/>
            <w:hideMark/>
          </w:tcPr>
          <w:p w:rsidR="009F5E0E" w:rsidRPr="009F5E0E" w:rsidRDefault="009F5E0E" w:rsidP="009F5E0E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b/>
                <w:bCs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9F5E0E" w:rsidRPr="009F5E0E" w:rsidTr="009F5E0E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59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poslovanja </w:t>
            </w:r>
          </w:p>
        </w:tc>
        <w:tc>
          <w:tcPr>
            <w:tcW w:w="85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rPr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Z005 (3)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b/>
                <w:bCs/>
                <w:color w:val="000000"/>
                <w:sz w:val="18"/>
                <w:szCs w:val="18"/>
                <w:lang w:eastAsia="hr-HR"/>
              </w:rPr>
              <w:t>463.866,22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b/>
                <w:bCs/>
                <w:color w:val="000000"/>
                <w:sz w:val="18"/>
                <w:szCs w:val="18"/>
                <w:lang w:eastAsia="hr-HR"/>
              </w:rPr>
              <w:t>641.888,18</w:t>
            </w:r>
          </w:p>
        </w:tc>
        <w:tc>
          <w:tcPr>
            <w:tcW w:w="992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b/>
                <w:bCs/>
                <w:color w:val="000000"/>
                <w:sz w:val="18"/>
                <w:szCs w:val="18"/>
                <w:lang w:eastAsia="hr-HR"/>
              </w:rPr>
              <w:t>138,38%</w:t>
            </w:r>
          </w:p>
        </w:tc>
        <w:tc>
          <w:tcPr>
            <w:tcW w:w="992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9F5E0E" w:rsidRPr="009F5E0E" w:rsidTr="009F5E0E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59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85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rPr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color w:val="000000"/>
                <w:sz w:val="18"/>
                <w:szCs w:val="18"/>
                <w:lang w:eastAsia="hr-HR"/>
              </w:rPr>
              <w:t>333.680,45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color w:val="000000"/>
                <w:sz w:val="18"/>
                <w:szCs w:val="18"/>
                <w:lang w:eastAsia="hr-HR"/>
              </w:rPr>
              <w:t>470.169,62</w:t>
            </w:r>
          </w:p>
        </w:tc>
        <w:tc>
          <w:tcPr>
            <w:tcW w:w="992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color w:val="000000"/>
                <w:sz w:val="18"/>
                <w:szCs w:val="18"/>
                <w:lang w:eastAsia="hr-HR"/>
              </w:rPr>
              <w:t>140,90%</w:t>
            </w:r>
          </w:p>
        </w:tc>
        <w:tc>
          <w:tcPr>
            <w:tcW w:w="992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color w:val="000000"/>
                <w:sz w:val="18"/>
                <w:szCs w:val="18"/>
                <w:lang w:eastAsia="hr-HR"/>
              </w:rPr>
              <w:t>73,08%</w:t>
            </w:r>
          </w:p>
        </w:tc>
      </w:tr>
      <w:tr w:rsidR="009F5E0E" w:rsidRPr="009F5E0E" w:rsidTr="009F5E0E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59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85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rPr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color w:val="000000"/>
                <w:sz w:val="18"/>
                <w:szCs w:val="18"/>
                <w:lang w:eastAsia="hr-HR"/>
              </w:rPr>
              <w:t>123.964,67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color w:val="000000"/>
                <w:sz w:val="18"/>
                <w:szCs w:val="18"/>
                <w:lang w:eastAsia="hr-HR"/>
              </w:rPr>
              <w:t>160.657,11</w:t>
            </w:r>
          </w:p>
        </w:tc>
        <w:tc>
          <w:tcPr>
            <w:tcW w:w="992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color w:val="000000"/>
                <w:sz w:val="18"/>
                <w:szCs w:val="18"/>
                <w:lang w:eastAsia="hr-HR"/>
              </w:rPr>
              <w:t>129,60%</w:t>
            </w:r>
          </w:p>
        </w:tc>
        <w:tc>
          <w:tcPr>
            <w:tcW w:w="992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color w:val="000000"/>
                <w:sz w:val="18"/>
                <w:szCs w:val="18"/>
                <w:lang w:eastAsia="hr-HR"/>
              </w:rPr>
              <w:t>24,97%</w:t>
            </w:r>
          </w:p>
        </w:tc>
      </w:tr>
      <w:tr w:rsidR="009F5E0E" w:rsidRPr="009F5E0E" w:rsidTr="009F5E0E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259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85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rPr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color w:val="000000"/>
                <w:sz w:val="18"/>
                <w:szCs w:val="18"/>
                <w:lang w:eastAsia="hr-HR"/>
              </w:rPr>
              <w:t>546,37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color w:val="000000"/>
                <w:sz w:val="18"/>
                <w:szCs w:val="18"/>
                <w:lang w:eastAsia="hr-HR"/>
              </w:rPr>
              <w:t>727,76</w:t>
            </w:r>
          </w:p>
        </w:tc>
        <w:tc>
          <w:tcPr>
            <w:tcW w:w="992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color w:val="000000"/>
                <w:sz w:val="18"/>
                <w:szCs w:val="18"/>
                <w:lang w:eastAsia="hr-HR"/>
              </w:rPr>
              <w:t>133,20%</w:t>
            </w:r>
          </w:p>
        </w:tc>
        <w:tc>
          <w:tcPr>
            <w:tcW w:w="992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color w:val="000000"/>
                <w:sz w:val="18"/>
                <w:szCs w:val="18"/>
                <w:lang w:eastAsia="hr-HR"/>
              </w:rPr>
              <w:t>0,11%</w:t>
            </w:r>
          </w:p>
        </w:tc>
      </w:tr>
      <w:tr w:rsidR="009F5E0E" w:rsidRPr="009F5E0E" w:rsidTr="009F5E0E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color w:val="000000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259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color w:val="000000"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85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rPr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color w:val="000000"/>
                <w:sz w:val="18"/>
                <w:szCs w:val="18"/>
                <w:lang w:eastAsia="hr-HR"/>
              </w:rPr>
              <w:t>674,73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9F5E0E" w:rsidRPr="009F5E0E" w:rsidTr="009F5E0E">
        <w:trPr>
          <w:trHeight w:val="735"/>
        </w:trPr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259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85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rPr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color w:val="000000"/>
                <w:sz w:val="18"/>
                <w:szCs w:val="18"/>
                <w:lang w:eastAsia="hr-HR"/>
              </w:rPr>
              <w:t>10.333,69</w:t>
            </w:r>
          </w:p>
        </w:tc>
        <w:tc>
          <w:tcPr>
            <w:tcW w:w="992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color w:val="000000"/>
                <w:sz w:val="18"/>
                <w:szCs w:val="18"/>
                <w:lang w:eastAsia="hr-HR"/>
              </w:rPr>
              <w:t>206,67%</w:t>
            </w:r>
          </w:p>
        </w:tc>
        <w:tc>
          <w:tcPr>
            <w:tcW w:w="992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color w:val="000000"/>
                <w:sz w:val="18"/>
                <w:szCs w:val="18"/>
                <w:lang w:eastAsia="hr-HR"/>
              </w:rPr>
              <w:t>1,61%</w:t>
            </w:r>
          </w:p>
        </w:tc>
      </w:tr>
      <w:tr w:rsidR="009F5E0E" w:rsidRPr="009F5E0E" w:rsidTr="009F5E0E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59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85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rPr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Y002 (4) 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b/>
                <w:bCs/>
                <w:color w:val="000000"/>
                <w:sz w:val="18"/>
                <w:szCs w:val="18"/>
                <w:lang w:eastAsia="hr-HR"/>
              </w:rPr>
              <w:t>977,19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b/>
                <w:bCs/>
                <w:color w:val="000000"/>
                <w:sz w:val="18"/>
                <w:szCs w:val="18"/>
                <w:lang w:eastAsia="hr-HR"/>
              </w:rPr>
              <w:t>1.462,50</w:t>
            </w:r>
          </w:p>
        </w:tc>
        <w:tc>
          <w:tcPr>
            <w:tcW w:w="992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b/>
                <w:bCs/>
                <w:color w:val="000000"/>
                <w:sz w:val="18"/>
                <w:szCs w:val="18"/>
                <w:lang w:eastAsia="hr-HR"/>
              </w:rPr>
              <w:t>149,66%</w:t>
            </w:r>
          </w:p>
        </w:tc>
        <w:tc>
          <w:tcPr>
            <w:tcW w:w="992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9F5E0E" w:rsidRPr="009F5E0E" w:rsidTr="009F5E0E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59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color w:val="000000"/>
                <w:sz w:val="18"/>
                <w:szCs w:val="18"/>
                <w:lang w:eastAsia="hr-HR"/>
              </w:rPr>
              <w:t>Rashodi za nabavu dugotrajne imovine</w:t>
            </w:r>
          </w:p>
        </w:tc>
        <w:tc>
          <w:tcPr>
            <w:tcW w:w="85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rPr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color w:val="000000"/>
                <w:sz w:val="18"/>
                <w:szCs w:val="18"/>
                <w:lang w:eastAsia="hr-HR"/>
              </w:rPr>
              <w:t>977,19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color w:val="000000"/>
                <w:sz w:val="18"/>
                <w:szCs w:val="18"/>
                <w:lang w:eastAsia="hr-HR"/>
              </w:rPr>
              <w:t>1.462,50</w:t>
            </w:r>
          </w:p>
        </w:tc>
        <w:tc>
          <w:tcPr>
            <w:tcW w:w="992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color w:val="000000"/>
                <w:sz w:val="18"/>
                <w:szCs w:val="18"/>
                <w:lang w:eastAsia="hr-HR"/>
              </w:rPr>
              <w:t>149,66%</w:t>
            </w:r>
          </w:p>
        </w:tc>
        <w:tc>
          <w:tcPr>
            <w:tcW w:w="992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F5E0E" w:rsidRPr="009F5E0E" w:rsidRDefault="009F5E0E" w:rsidP="009F5E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9F5E0E">
              <w:rPr>
                <w:color w:val="000000"/>
                <w:sz w:val="18"/>
                <w:szCs w:val="18"/>
                <w:lang w:eastAsia="hr-HR"/>
              </w:rPr>
              <w:t>0,23%</w:t>
            </w:r>
          </w:p>
        </w:tc>
      </w:tr>
    </w:tbl>
    <w:p w:rsidR="00782922" w:rsidRDefault="00782922" w:rsidP="00782922">
      <w:pPr>
        <w:tabs>
          <w:tab w:val="left" w:pos="5895"/>
        </w:tabs>
        <w:jc w:val="both"/>
        <w:rPr>
          <w:bCs/>
        </w:rPr>
      </w:pPr>
    </w:p>
    <w:p w:rsidR="00782922" w:rsidRDefault="00782922" w:rsidP="00782922">
      <w:pPr>
        <w:tabs>
          <w:tab w:val="left" w:pos="5895"/>
        </w:tabs>
        <w:jc w:val="both"/>
        <w:rPr>
          <w:rFonts w:ascii="Calibri" w:hAnsi="Calibri" w:cs="Calibri"/>
          <w:bCs/>
          <w:sz w:val="16"/>
          <w:szCs w:val="16"/>
        </w:rPr>
      </w:pPr>
    </w:p>
    <w:p w:rsidR="00782922" w:rsidRDefault="00782922" w:rsidP="00782922">
      <w:pPr>
        <w:tabs>
          <w:tab w:val="left" w:pos="5895"/>
        </w:tabs>
        <w:jc w:val="both"/>
        <w:rPr>
          <w:rFonts w:ascii="Arial" w:hAnsi="Arial" w:cs="Arial"/>
        </w:rPr>
      </w:pPr>
      <w:r>
        <w:rPr>
          <w:bCs/>
        </w:rPr>
        <w:t xml:space="preserve">          </w:t>
      </w:r>
      <w:r>
        <w:rPr>
          <w:b/>
          <w:bCs/>
        </w:rPr>
        <w:t>Rashodi poslovanja  razreda 3</w:t>
      </w:r>
      <w:r>
        <w:rPr>
          <w:bCs/>
        </w:rPr>
        <w:t xml:space="preserve"> </w:t>
      </w:r>
      <w:r>
        <w:rPr>
          <w:b/>
          <w:bCs/>
        </w:rPr>
        <w:t>(Z005)</w:t>
      </w:r>
      <w:r>
        <w:rPr>
          <w:bCs/>
        </w:rPr>
        <w:t xml:space="preserve"> ostvareni u iznosu od </w:t>
      </w:r>
      <w:r w:rsidR="009F5E0E">
        <w:rPr>
          <w:bCs/>
        </w:rPr>
        <w:t>641.888,18</w:t>
      </w:r>
      <w:r>
        <w:rPr>
          <w:bCs/>
        </w:rPr>
        <w:t xml:space="preserve">EUR (ostvarenje prethodne godine </w:t>
      </w:r>
      <w:r w:rsidR="009F5E0E">
        <w:rPr>
          <w:bCs/>
        </w:rPr>
        <w:t>463.866,22</w:t>
      </w:r>
      <w:r>
        <w:rPr>
          <w:bCs/>
        </w:rPr>
        <w:t xml:space="preserve"> EUR), odnose se na rashode za zaposlene, materijalne rashode, financijske rashode i naknade građanima i kućanstvima.  Ostvarenje </w:t>
      </w:r>
      <w:r>
        <w:rPr>
          <w:bCs/>
        </w:rPr>
        <w:lastRenderedPageBreak/>
        <w:t xml:space="preserve">rashoda u izvještajnom razdoblju u skladu je sa planom, a unutar ostvarenja pojedine stavke bilježe povećanje, smanjenje ili su na razini ostvarenja prethodne godine.  </w:t>
      </w:r>
    </w:p>
    <w:p w:rsidR="00782922" w:rsidRDefault="00782922" w:rsidP="00782922">
      <w:pPr>
        <w:rPr>
          <w:rFonts w:ascii="Arial" w:hAnsi="Arial" w:cs="Arial"/>
        </w:rPr>
      </w:pPr>
    </w:p>
    <w:p w:rsidR="00782922" w:rsidRDefault="00782922" w:rsidP="00782922">
      <w:pPr>
        <w:tabs>
          <w:tab w:val="left" w:pos="240"/>
          <w:tab w:val="left" w:pos="589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b/>
          <w:bCs/>
        </w:rPr>
        <w:t>Rashodi za zaposlene</w:t>
      </w:r>
      <w:r>
        <w:rPr>
          <w:bCs/>
        </w:rPr>
        <w:t xml:space="preserve"> ostvareni u iznosu od </w:t>
      </w:r>
      <w:r w:rsidR="009F5E0E">
        <w:rPr>
          <w:bCs/>
        </w:rPr>
        <w:t>470.169,62</w:t>
      </w:r>
      <w:r>
        <w:rPr>
          <w:bCs/>
        </w:rPr>
        <w:t xml:space="preserve"> EUR odnosno </w:t>
      </w:r>
      <w:r w:rsidR="009F5E0E">
        <w:rPr>
          <w:bCs/>
        </w:rPr>
        <w:t>140,90</w:t>
      </w:r>
      <w:r>
        <w:rPr>
          <w:bCs/>
        </w:rPr>
        <w:t>% ostvarenja u odnosu na prethodnu godinu. Do povećanja u odnosu na ostvarenje prethodne godine, došlo je zbog realizacije planiranog zapošljavanja zaposlenika, nakon otvaranja novog objekta</w:t>
      </w:r>
      <w:r w:rsidR="009F5E0E">
        <w:rPr>
          <w:bCs/>
        </w:rPr>
        <w:t xml:space="preserve">, te iz razloga što je </w:t>
      </w:r>
      <w:r w:rsidR="001267B2">
        <w:rPr>
          <w:bCs/>
        </w:rPr>
        <w:t>t</w:t>
      </w:r>
      <w:r w:rsidR="001267B2" w:rsidRPr="00473615">
        <w:t xml:space="preserve">ijekom izvještajnog razdoblja osnovica za obračun plaće povećavana </w:t>
      </w:r>
      <w:r w:rsidR="001267B2">
        <w:t xml:space="preserve"> </w:t>
      </w:r>
      <w:r w:rsidR="001267B2" w:rsidRPr="00473615">
        <w:t xml:space="preserve"> </w:t>
      </w:r>
      <w:r w:rsidR="001267B2">
        <w:t>pet puta, a u odnosu na osnovicu koja je u siječnju iznosila 570,00 EUR, u listopadu je povećana za gotovo 53% i iznosila je 871,00 EUR.</w:t>
      </w:r>
    </w:p>
    <w:p w:rsidR="00782922" w:rsidRDefault="00782922" w:rsidP="00782922">
      <w:pPr>
        <w:jc w:val="both"/>
      </w:pPr>
      <w:r>
        <w:rPr>
          <w:rFonts w:ascii="Arial" w:hAnsi="Arial" w:cs="Arial"/>
        </w:rPr>
        <w:t xml:space="preserve">        </w:t>
      </w:r>
      <w:r>
        <w:rPr>
          <w:b/>
        </w:rPr>
        <w:t>Materijalni rashodi</w:t>
      </w:r>
      <w:r>
        <w:t xml:space="preserve">  ostvareni u iznosu od 123.964,67 EUR – indeks ostvarenja 123,1%. Unutar materijalnih rashoda pojedine stavke bilježe povećanje odnosno smanjenje. </w:t>
      </w:r>
    </w:p>
    <w:p w:rsidR="00C42A59" w:rsidRDefault="00782922" w:rsidP="00C42A59">
      <w:pPr>
        <w:jc w:val="both"/>
      </w:pPr>
      <w:r>
        <w:t xml:space="preserve">        </w:t>
      </w:r>
      <w:r w:rsidRPr="001053A4">
        <w:rPr>
          <w:b/>
        </w:rPr>
        <w:t>Naknade troškova  zaposlenima (321)</w:t>
      </w:r>
      <w:r>
        <w:t xml:space="preserve">  </w:t>
      </w:r>
      <w:r w:rsidR="00C42A59">
        <w:t xml:space="preserve">bilježe povećanje za 12,6%   uvedena je naknada za topli obrok zaposlenih. Službena putovanja (indeks 55,8%)  i stručna usavršavanja (indeks 169,6%)  bilježe povećanje od   zbog prisustvovanja odgajatelja na edukacijama. Naknade za prijevoz (indeks 107,3%) bilježe povećanje jer su naknade zaposlenima usklađene sa cijenom povećanja troškova autoprijevoznika.  Ostale naknade troškova zaposlenima (indeks 190,1%) odnose se na povećanje naknade za upotrebu osobnog automobila u službene svrhe radi odlaska na edukacije i programa zavičajne nastave. </w:t>
      </w:r>
    </w:p>
    <w:p w:rsidR="00C42A59" w:rsidRDefault="00782922" w:rsidP="00C42A59">
      <w:pPr>
        <w:jc w:val="both"/>
      </w:pPr>
      <w:r>
        <w:t xml:space="preserve">         </w:t>
      </w:r>
      <w:r w:rsidRPr="001053A4">
        <w:rPr>
          <w:b/>
        </w:rPr>
        <w:t>Rashodi za materijal i energiju (322)</w:t>
      </w:r>
      <w:r>
        <w:t xml:space="preserve"> bilježe povećanje za 35,3% . </w:t>
      </w:r>
      <w:r w:rsidR="00C42A59">
        <w:t xml:space="preserve">Gotovo svi rashodi unutar ove skupine bilježe povećanje, a razlozi  su </w:t>
      </w:r>
      <w:r w:rsidR="00C42A59">
        <w:rPr>
          <w:bCs/>
        </w:rPr>
        <w:t xml:space="preserve">rast </w:t>
      </w:r>
      <w:r w:rsidR="00C42A59">
        <w:t>cijena prehrambenih proizvoda,   materijala za čišćenje i održavanje, te higijensku  njegu, kao i veći broj djece polaznika ustanove.</w:t>
      </w:r>
    </w:p>
    <w:p w:rsidR="00C42A59" w:rsidRDefault="00C42A59" w:rsidP="00C42A59">
      <w:pPr>
        <w:jc w:val="both"/>
      </w:pPr>
      <w:r>
        <w:rPr>
          <w:b/>
        </w:rPr>
        <w:t xml:space="preserve">         </w:t>
      </w:r>
      <w:r w:rsidRPr="00C42A59">
        <w:rPr>
          <w:b/>
        </w:rPr>
        <w:t xml:space="preserve">Rashodi za usluge  (323) </w:t>
      </w:r>
      <w:r>
        <w:t>ostvareni u iznosu od 33.642,61 EUR  (indeks ostvarenja 116,8%)</w:t>
      </w:r>
    </w:p>
    <w:p w:rsidR="00782922" w:rsidRPr="00C42A59" w:rsidRDefault="00C42A59" w:rsidP="00C42A59">
      <w:pPr>
        <w:jc w:val="both"/>
        <w:rPr>
          <w:color w:val="FF0000"/>
        </w:rPr>
      </w:pPr>
      <w:r>
        <w:t xml:space="preserve">Povećanje bilježe usluge telefona, pošte 12,8% radi povećanja cijene usluge, komunalne usluge 11,2% radi povećanje naknade za uređenje voda, intelektualne i osobne usluge 35,8% i u cijelosti se odnose na autorske honorare za provođenje programa božićnog darivanja predškolske djece,  usluge tekućeg i investicijsko </w:t>
      </w:r>
      <w:proofErr w:type="spellStart"/>
      <w:r>
        <w:t>odžavanja</w:t>
      </w:r>
      <w:proofErr w:type="spellEnd"/>
      <w:r>
        <w:t xml:space="preserve"> 120,8% zbog uređenja područnog odjeljenja u </w:t>
      </w:r>
      <w:proofErr w:type="spellStart"/>
      <w:r>
        <w:t>Raklju</w:t>
      </w:r>
      <w:proofErr w:type="spellEnd"/>
      <w:r>
        <w:t xml:space="preserve">, ostale usluge povećanje bilježe za  36,8% a odnose se na </w:t>
      </w:r>
      <w:proofErr w:type="spellStart"/>
      <w:r>
        <w:t>povećne</w:t>
      </w:r>
      <w:proofErr w:type="spellEnd"/>
      <w:r>
        <w:t xml:space="preserve"> usluge pranje robe. </w:t>
      </w:r>
      <w:r>
        <w:rPr>
          <w:color w:val="FF0000"/>
        </w:rPr>
        <w:t xml:space="preserve"> </w:t>
      </w:r>
      <w:r w:rsidR="00782922">
        <w:rPr>
          <w:b/>
        </w:rPr>
        <w:t xml:space="preserve">       </w:t>
      </w:r>
      <w:r>
        <w:rPr>
          <w:b/>
        </w:rPr>
        <w:t xml:space="preserve"> </w:t>
      </w:r>
    </w:p>
    <w:p w:rsidR="00C42A59" w:rsidRDefault="00C42A59" w:rsidP="00C42A59">
      <w:pPr>
        <w:jc w:val="both"/>
      </w:pPr>
      <w:r>
        <w:rPr>
          <w:b/>
        </w:rPr>
        <w:t xml:space="preserve">          </w:t>
      </w:r>
      <w:r w:rsidRPr="00C42A59">
        <w:rPr>
          <w:b/>
        </w:rPr>
        <w:t>Ostali nespomenuti rashodi poslovanja (329)</w:t>
      </w:r>
      <w:r>
        <w:t xml:space="preserve"> ostvareni u iznosu od 8.784,83 EUR indeks ostvarenja 369,2%. Povećanje bilježe premije osiguranja  zbog povećanja cijene obveznog osiguranja prijevoznog sredstva, usluge reprezentacije , te zbog plaćanja naknade za nezapošljavanje osoba s invaliditetom.</w:t>
      </w:r>
    </w:p>
    <w:p w:rsidR="00C42A59" w:rsidRDefault="00C42A59" w:rsidP="00C42A59">
      <w:pPr>
        <w:jc w:val="both"/>
      </w:pPr>
      <w:r>
        <w:rPr>
          <w:b/>
        </w:rPr>
        <w:t xml:space="preserve">          </w:t>
      </w:r>
      <w:r w:rsidRPr="00C42A59">
        <w:rPr>
          <w:b/>
        </w:rPr>
        <w:t>Financijski rashodi (34)</w:t>
      </w:r>
      <w:r>
        <w:t xml:space="preserve"> ostvareni u iznosu od 727,76 EUR bilježe povećanje zbog rasta naknade za </w:t>
      </w:r>
      <w:proofErr w:type="spellStart"/>
      <w:r>
        <w:t>banksrske</w:t>
      </w:r>
      <w:proofErr w:type="spellEnd"/>
      <w:r>
        <w:t xml:space="preserve"> usluge i plaćanje zateznih kamata. </w:t>
      </w:r>
    </w:p>
    <w:p w:rsidR="00C42A59" w:rsidRDefault="00C42A59" w:rsidP="00C42A59">
      <w:pPr>
        <w:jc w:val="both"/>
      </w:pPr>
      <w:r>
        <w:rPr>
          <w:b/>
        </w:rPr>
        <w:t xml:space="preserve">         </w:t>
      </w:r>
      <w:r w:rsidRPr="00C42A59">
        <w:rPr>
          <w:b/>
        </w:rPr>
        <w:t>Pomoći dane u inozemstvo i unutar općeg proračuna (36)</w:t>
      </w:r>
      <w:r>
        <w:t xml:space="preserve"> nisu ostvareni u izvještajnom razdoblju. </w:t>
      </w:r>
    </w:p>
    <w:p w:rsidR="00C42A59" w:rsidRDefault="00C42A59" w:rsidP="00C42A59">
      <w:r>
        <w:t xml:space="preserve">         </w:t>
      </w:r>
      <w:r w:rsidRPr="00C42A59">
        <w:rPr>
          <w:b/>
        </w:rPr>
        <w:t>Naknade građanima i kućanstvima u novcu (37) o</w:t>
      </w:r>
      <w:r>
        <w:t xml:space="preserve">stvareni u iznosu od 10.333,69 EUR, u cijelosti se odnose na božićno darivanje predškolske djece  i  bilježe povećanje   zbog potrebe kupnje većeg broja paketa za darivanje. </w:t>
      </w:r>
    </w:p>
    <w:p w:rsidR="00C42A59" w:rsidRPr="00431FFE" w:rsidRDefault="00782922" w:rsidP="00C42A59">
      <w:pPr>
        <w:jc w:val="both"/>
      </w:pPr>
      <w:r>
        <w:rPr>
          <w:b/>
        </w:rPr>
        <w:t xml:space="preserve">           Rashodi za nabavu nefinancijske imovine</w:t>
      </w:r>
      <w:r>
        <w:t xml:space="preserve">  </w:t>
      </w:r>
      <w:r w:rsidRPr="001053A4">
        <w:rPr>
          <w:b/>
        </w:rPr>
        <w:t>(42)</w:t>
      </w:r>
      <w:r>
        <w:t xml:space="preserve">  </w:t>
      </w:r>
      <w:r w:rsidR="00C42A59" w:rsidRPr="00431FFE">
        <w:t>iznosili su u 202</w:t>
      </w:r>
      <w:r w:rsidR="00C42A59">
        <w:t>4</w:t>
      </w:r>
      <w:r w:rsidR="00C42A59" w:rsidRPr="00431FFE">
        <w:t xml:space="preserve">. godini </w:t>
      </w:r>
      <w:r w:rsidR="00C42A59">
        <w:t>1.426,50 EUR</w:t>
      </w:r>
      <w:r w:rsidR="00C42A59" w:rsidRPr="00431FFE">
        <w:t xml:space="preserve"> </w:t>
      </w:r>
      <w:r w:rsidR="00C42A59">
        <w:t xml:space="preserve">i bilježe povećanje </w:t>
      </w:r>
      <w:r w:rsidR="00C42A59" w:rsidRPr="00431FFE">
        <w:t xml:space="preserve">u odnosu na prethodnu godinu iz razloga što </w:t>
      </w:r>
      <w:r w:rsidR="00C42A59">
        <w:t>je tijekom izvještajnog razdoblja nabavljeno novo računalo.</w:t>
      </w:r>
    </w:p>
    <w:p w:rsidR="00782922" w:rsidRDefault="00782922" w:rsidP="00782922"/>
    <w:p w:rsidR="00C42A59" w:rsidRDefault="00782922" w:rsidP="00C42A59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</w:t>
      </w:r>
      <w:r w:rsidRPr="001053A4">
        <w:rPr>
          <w:rFonts w:ascii="Arial" w:hAnsi="Arial" w:cs="Arial"/>
          <w:b/>
        </w:rPr>
        <w:t xml:space="preserve">    </w:t>
      </w:r>
      <w:r w:rsidRPr="001053A4">
        <w:rPr>
          <w:b/>
        </w:rPr>
        <w:t>REZULTAT POSLOVANJA</w:t>
      </w:r>
      <w:r>
        <w:rPr>
          <w:b/>
        </w:rPr>
        <w:t xml:space="preserve"> </w:t>
      </w:r>
    </w:p>
    <w:p w:rsidR="00C42A59" w:rsidRPr="00C42A59" w:rsidRDefault="00C42A59" w:rsidP="00C42A59">
      <w:pPr>
        <w:rPr>
          <w:rFonts w:ascii="Arial" w:hAnsi="Arial" w:cs="Arial"/>
          <w:b/>
        </w:rPr>
      </w:pPr>
      <w:r>
        <w:t xml:space="preserve">       Manjak</w:t>
      </w:r>
      <w:r w:rsidRPr="00431FFE">
        <w:t xml:space="preserve"> prihoda poslovanja </w:t>
      </w:r>
      <w:r>
        <w:t xml:space="preserve">izvještajnog razdoblja </w:t>
      </w:r>
      <w:r w:rsidRPr="00431FFE">
        <w:t xml:space="preserve"> iznosi </w:t>
      </w:r>
      <w:r>
        <w:t>255,65  EUR</w:t>
      </w:r>
      <w:r w:rsidRPr="00431FFE">
        <w:t>. Preneseni višak prihoda iz 202</w:t>
      </w:r>
      <w:r>
        <w:t>3</w:t>
      </w:r>
      <w:r w:rsidRPr="00431FFE">
        <w:t xml:space="preserve">.g. iznosi </w:t>
      </w:r>
      <w:r>
        <w:t xml:space="preserve">396,62 EUR </w:t>
      </w:r>
      <w:r w:rsidRPr="00431FFE">
        <w:t xml:space="preserve"> </w:t>
      </w:r>
      <w:r>
        <w:t xml:space="preserve"> </w:t>
      </w:r>
      <w:r w:rsidRPr="00431FFE">
        <w:t xml:space="preserve"> tako</w:t>
      </w:r>
      <w:r>
        <w:t xml:space="preserve"> da</w:t>
      </w:r>
      <w:r w:rsidRPr="00431FFE">
        <w:t xml:space="preserve"> višak prihoda </w:t>
      </w:r>
      <w:r>
        <w:t xml:space="preserve"> na dan 31.12.</w:t>
      </w:r>
      <w:r w:rsidRPr="00431FFE">
        <w:t xml:space="preserve"> 202</w:t>
      </w:r>
      <w:r>
        <w:t>4</w:t>
      </w:r>
      <w:r w:rsidRPr="00431FFE">
        <w:t xml:space="preserve">. </w:t>
      </w:r>
      <w:r>
        <w:t>g</w:t>
      </w:r>
      <w:r w:rsidRPr="00431FFE">
        <w:t>odin</w:t>
      </w:r>
      <w:r>
        <w:t xml:space="preserve">e </w:t>
      </w:r>
      <w:r w:rsidRPr="00431FFE">
        <w:t xml:space="preserve"> iznosi </w:t>
      </w:r>
      <w:r>
        <w:t>140,97 EUR.</w:t>
      </w:r>
    </w:p>
    <w:p w:rsidR="00782922" w:rsidRDefault="00782922" w:rsidP="00C42A59">
      <w:pPr>
        <w:rPr>
          <w:b/>
        </w:rPr>
      </w:pPr>
    </w:p>
    <w:p w:rsidR="00782922" w:rsidRDefault="00782922" w:rsidP="00C42A59">
      <w:pPr>
        <w:jc w:val="both"/>
        <w:rPr>
          <w:bCs/>
        </w:rPr>
      </w:pPr>
      <w:r w:rsidRPr="000A73AD">
        <w:lastRenderedPageBreak/>
        <w:t xml:space="preserve">       </w:t>
      </w:r>
      <w:r w:rsidRPr="000A73AD">
        <w:rPr>
          <w:b/>
        </w:rPr>
        <w:t xml:space="preserve">Obveze na dan 31.12.2023. godine </w:t>
      </w:r>
    </w:p>
    <w:p w:rsidR="00782922" w:rsidRDefault="00782922" w:rsidP="00782922">
      <w:pPr>
        <w:tabs>
          <w:tab w:val="left" w:pos="6120"/>
        </w:tabs>
        <w:jc w:val="both"/>
        <w:rPr>
          <w:bCs/>
        </w:rPr>
      </w:pPr>
    </w:p>
    <w:p w:rsidR="00C42A59" w:rsidRDefault="00C42A59" w:rsidP="00C42A59">
      <w:pPr>
        <w:jc w:val="both"/>
      </w:pPr>
      <w:r w:rsidRPr="00431FFE">
        <w:t>Stanje obveza na dan 31.12.202</w:t>
      </w:r>
      <w:r>
        <w:t>4</w:t>
      </w:r>
      <w:r w:rsidRPr="00431FFE">
        <w:t xml:space="preserve">. godine iznosi </w:t>
      </w:r>
      <w:r>
        <w:t>60.028,69</w:t>
      </w:r>
      <w:r w:rsidRPr="00431FFE">
        <w:t xml:space="preserve"> </w:t>
      </w:r>
      <w:r>
        <w:tab/>
        <w:t>EUR. Obveze imaju slijedeću strukturu:</w:t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956"/>
        <w:gridCol w:w="3861"/>
        <w:gridCol w:w="1577"/>
        <w:gridCol w:w="1134"/>
        <w:gridCol w:w="1134"/>
      </w:tblGrid>
      <w:tr w:rsidR="00C42A59" w:rsidRPr="00142A2A" w:rsidTr="009231AB">
        <w:trPr>
          <w:trHeight w:val="277"/>
        </w:trPr>
        <w:tc>
          <w:tcPr>
            <w:tcW w:w="95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Broj računa</w:t>
            </w:r>
          </w:p>
        </w:tc>
        <w:tc>
          <w:tcPr>
            <w:tcW w:w="38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Naziv računa</w:t>
            </w:r>
          </w:p>
        </w:tc>
        <w:tc>
          <w:tcPr>
            <w:tcW w:w="15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Stanje 01.01.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Stanje 31.12.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Indeks</w:t>
            </w:r>
          </w:p>
        </w:tc>
      </w:tr>
      <w:tr w:rsidR="00C42A59" w:rsidRPr="00142A2A" w:rsidTr="009231AB">
        <w:trPr>
          <w:trHeight w:val="315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C0C0C0"/>
            <w:vAlign w:val="center"/>
            <w:hideMark/>
          </w:tcPr>
          <w:p w:rsidR="00C42A59" w:rsidRPr="00142A2A" w:rsidRDefault="00C42A59" w:rsidP="009231AB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C0C0C0"/>
            <w:vAlign w:val="center"/>
            <w:hideMark/>
          </w:tcPr>
          <w:p w:rsidR="00C42A59" w:rsidRPr="00142A2A" w:rsidRDefault="00C42A59" w:rsidP="009231AB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Obveze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C0C0C0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31.835,84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C0C0C0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60.028,69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C0C0C0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188,6%</w:t>
            </w:r>
          </w:p>
        </w:tc>
      </w:tr>
      <w:tr w:rsidR="00C42A59" w:rsidRPr="00142A2A" w:rsidTr="009231AB">
        <w:trPr>
          <w:trHeight w:val="106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2311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Obveze za plaće - neto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17.603,54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31.775,91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180,5%</w:t>
            </w:r>
          </w:p>
        </w:tc>
      </w:tr>
      <w:tr w:rsidR="00C42A59" w:rsidRPr="00142A2A" w:rsidTr="009231AB">
        <w:trPr>
          <w:trHeight w:val="54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2312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Obveze za naknade plaća – neto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829,64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363,80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43,9%</w:t>
            </w:r>
          </w:p>
        </w:tc>
      </w:tr>
      <w:tr w:rsidR="00C42A59" w:rsidRPr="00142A2A" w:rsidTr="009231AB">
        <w:trPr>
          <w:trHeight w:val="54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2314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Obveze za porez i prirez na dohodak iz plaća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1.193,15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3.515,83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294,7%</w:t>
            </w:r>
          </w:p>
        </w:tc>
      </w:tr>
      <w:tr w:rsidR="00C42A59" w:rsidRPr="00142A2A" w:rsidTr="009231AB">
        <w:trPr>
          <w:trHeight w:val="54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2315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Obveze za doprinose iz plaća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4.354,08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8.681,99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199,4%</w:t>
            </w:r>
          </w:p>
        </w:tc>
      </w:tr>
      <w:tr w:rsidR="00C42A59" w:rsidRPr="00142A2A" w:rsidTr="009231AB">
        <w:trPr>
          <w:trHeight w:val="54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2316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Obveze za doprinose na plaće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3.819,96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7.255,71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189,9%</w:t>
            </w:r>
          </w:p>
        </w:tc>
      </w:tr>
      <w:tr w:rsidR="00C42A59" w:rsidRPr="00142A2A" w:rsidTr="009231AB">
        <w:trPr>
          <w:trHeight w:val="54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2317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Ostale obveze za zaposlene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1.273,67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2.359,09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C42A59" w:rsidRPr="00142A2A" w:rsidTr="009231AB">
        <w:trPr>
          <w:trHeight w:val="54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231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Obveze za zaposlene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29.074,04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53.952,33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185,6%</w:t>
            </w:r>
          </w:p>
        </w:tc>
      </w:tr>
      <w:tr w:rsidR="00C42A59" w:rsidRPr="00142A2A" w:rsidTr="009231AB">
        <w:trPr>
          <w:trHeight w:val="54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2321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Naknade troškova zaposlenima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1.441,42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1.587,27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110,1%</w:t>
            </w:r>
          </w:p>
        </w:tc>
      </w:tr>
      <w:tr w:rsidR="00C42A59" w:rsidRPr="00142A2A" w:rsidTr="009231AB">
        <w:trPr>
          <w:trHeight w:val="54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2322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Rashodi za materijal i energiju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462,58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568,77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123,0%</w:t>
            </w:r>
          </w:p>
        </w:tc>
      </w:tr>
      <w:tr w:rsidR="00C42A59" w:rsidRPr="00142A2A" w:rsidTr="009231AB">
        <w:trPr>
          <w:trHeight w:val="54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2323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Rashodi za usluge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775,77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1.516,81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195,5%</w:t>
            </w:r>
          </w:p>
        </w:tc>
      </w:tr>
      <w:tr w:rsidR="00C42A59" w:rsidRPr="00142A2A" w:rsidTr="009231AB">
        <w:trPr>
          <w:trHeight w:val="54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2329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Ostali nespomenuti rashodi poslovanja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17,00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1.680,00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C42A59" w:rsidRPr="00142A2A" w:rsidTr="009231AB">
        <w:trPr>
          <w:trHeight w:val="54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232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Obveze za materijalne rashode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2.696,77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5.352,85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198,5%</w:t>
            </w:r>
          </w:p>
        </w:tc>
      </w:tr>
      <w:tr w:rsidR="00C42A59" w:rsidRPr="00142A2A" w:rsidTr="009231AB">
        <w:trPr>
          <w:trHeight w:val="54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2343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Obveze za ostale financijske rashode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65,03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64,42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99,1%</w:t>
            </w:r>
          </w:p>
        </w:tc>
      </w:tr>
      <w:tr w:rsidR="00C42A59" w:rsidRPr="00142A2A" w:rsidTr="009231AB">
        <w:trPr>
          <w:trHeight w:val="54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234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Obveze za financijske rashode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65,03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64,42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99,1%</w:t>
            </w:r>
          </w:p>
        </w:tc>
      </w:tr>
      <w:tr w:rsidR="00C42A59" w:rsidRPr="00142A2A" w:rsidTr="009231AB">
        <w:trPr>
          <w:trHeight w:val="54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2395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Obveze za predujmove, depozite, primljene jamčevine i ostale nespomenute obveze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659,09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42A59" w:rsidRPr="00142A2A" w:rsidTr="009231AB">
        <w:trPr>
          <w:trHeight w:val="54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Ostale tekuće obveze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659,09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2A59" w:rsidRPr="00142A2A" w:rsidTr="009231AB">
        <w:trPr>
          <w:trHeight w:val="54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Obveze za rashode poslovanja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31.835,84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60.028,69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C42A59" w:rsidRPr="00142A2A" w:rsidRDefault="00C42A59" w:rsidP="009231A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188,6%</w:t>
            </w:r>
          </w:p>
        </w:tc>
      </w:tr>
    </w:tbl>
    <w:p w:rsidR="00C42A59" w:rsidRDefault="00C42A59" w:rsidP="00C42A59">
      <w:pPr>
        <w:jc w:val="both"/>
      </w:pPr>
    </w:p>
    <w:p w:rsidR="00C42A59" w:rsidRPr="00473615" w:rsidRDefault="00C42A59" w:rsidP="00C42A59">
      <w:pPr>
        <w:jc w:val="both"/>
      </w:pPr>
      <w:r>
        <w:t xml:space="preserve">            </w:t>
      </w:r>
      <w:r w:rsidRPr="00473615">
        <w:t xml:space="preserve">Povećanje obveza u najvećoj mjeri odnosi se na veće obveze za zaposlene, plaće za prosinac. Tijekom izvještajnog razdoblja osnovica za obračun plaće povećavana je  </w:t>
      </w:r>
      <w:r>
        <w:t>pet puta, a u odnosu na osnovicu od siječnja 570,00 EUR, u listopadu je povećana za gotovo 53% i iznosila je 871,00 EUR.</w:t>
      </w:r>
    </w:p>
    <w:p w:rsidR="00C42A59" w:rsidRDefault="00C42A59" w:rsidP="00C42A59">
      <w:r>
        <w:t xml:space="preserve">           </w:t>
      </w:r>
      <w:r w:rsidRPr="00431FFE">
        <w:t xml:space="preserve">Sve obveze </w:t>
      </w:r>
      <w:r>
        <w:t>Dječjeg vrtića</w:t>
      </w:r>
      <w:r w:rsidRPr="00431FFE">
        <w:t xml:space="preserve"> </w:t>
      </w:r>
      <w:r>
        <w:t xml:space="preserve"> </w:t>
      </w:r>
      <w:r w:rsidRPr="00431FFE">
        <w:t xml:space="preserve"> podmiruju </w:t>
      </w:r>
      <w:r>
        <w:t xml:space="preserve">se </w:t>
      </w:r>
      <w:r w:rsidRPr="00431FFE">
        <w:t>redovito</w:t>
      </w:r>
      <w:r>
        <w:t>,</w:t>
      </w:r>
      <w:r w:rsidRPr="00431FFE">
        <w:t xml:space="preserve"> te se navedeni iznos sastoji od nedospjelih obveza, a tek manji dio u iznosu od </w:t>
      </w:r>
      <w:r>
        <w:t xml:space="preserve">462,68 </w:t>
      </w:r>
      <w:r w:rsidRPr="00431FFE">
        <w:t xml:space="preserve"> </w:t>
      </w:r>
      <w:r>
        <w:t xml:space="preserve">EUR </w:t>
      </w:r>
      <w:r w:rsidRPr="00431FFE">
        <w:t xml:space="preserve"> </w:t>
      </w:r>
      <w:r>
        <w:t xml:space="preserve"> </w:t>
      </w:r>
      <w:r w:rsidRPr="00431FFE">
        <w:t>odnosi</w:t>
      </w:r>
      <w:r>
        <w:t xml:space="preserve"> se</w:t>
      </w:r>
      <w:r w:rsidRPr="00431FFE">
        <w:t xml:space="preserve"> na dospjel</w:t>
      </w:r>
      <w:r>
        <w:t xml:space="preserve">u </w:t>
      </w:r>
      <w:r w:rsidRPr="00431FFE">
        <w:t xml:space="preserve"> obvez</w:t>
      </w:r>
      <w:r>
        <w:t xml:space="preserve">u, </w:t>
      </w:r>
      <w:r w:rsidRPr="00431FFE">
        <w:t>podmirene u siječnju 202</w:t>
      </w:r>
      <w:r>
        <w:t>5</w:t>
      </w:r>
      <w:r w:rsidRPr="00431FFE">
        <w:t>.g.</w:t>
      </w:r>
    </w:p>
    <w:p w:rsidR="00A20708" w:rsidRDefault="00A20708" w:rsidP="00A20708">
      <w:pPr>
        <w:rPr>
          <w:b/>
        </w:rPr>
      </w:pPr>
    </w:p>
    <w:p w:rsidR="00323CDA" w:rsidRDefault="00A20708" w:rsidP="00C42A59">
      <w:pPr>
        <w:pStyle w:val="Bezproreda"/>
        <w:jc w:val="both"/>
        <w:rPr>
          <w:rFonts w:ascii="Times New Roman" w:hAnsi="Times New Roman"/>
          <w:sz w:val="24"/>
          <w:szCs w:val="24"/>
        </w:rPr>
        <w:sectPr w:rsidR="00323CDA" w:rsidSect="00782922">
          <w:pgSz w:w="11906" w:h="16838"/>
          <w:pgMar w:top="1418" w:right="1418" w:bottom="1418" w:left="1418" w:header="720" w:footer="720" w:gutter="0"/>
          <w:cols w:space="720"/>
          <w:docGrid w:linePitch="600" w:charSpace="32768"/>
        </w:sect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A20708" w:rsidRDefault="00323CDA" w:rsidP="00C42A59">
      <w:pPr>
        <w:pStyle w:val="Bezproreda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lastRenderedPageBreak/>
        <w:t>Pregled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ostvarenja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financijskog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plana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siječanj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prosinac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2024.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proračunskim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klasifikacijama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323CDA" w:rsidRDefault="00323CDA" w:rsidP="00C42A59">
      <w:pPr>
        <w:pStyle w:val="Bezproreda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4030" w:type="dxa"/>
        <w:tblInd w:w="93" w:type="dxa"/>
        <w:tblLook w:val="04A0" w:firstRow="1" w:lastRow="0" w:firstColumn="1" w:lastColumn="0" w:noHBand="0" w:noVBand="1"/>
      </w:tblPr>
      <w:tblGrid>
        <w:gridCol w:w="1980"/>
        <w:gridCol w:w="7010"/>
        <w:gridCol w:w="1360"/>
        <w:gridCol w:w="1540"/>
        <w:gridCol w:w="1240"/>
        <w:gridCol w:w="900"/>
      </w:tblGrid>
      <w:tr w:rsidR="00323CDA" w:rsidRPr="00323CDA" w:rsidTr="00323CDA"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BROJ KONTA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REALIZIRANO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RAZLIKA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SVEUKUPNO RASHODI / IZDACI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675.608,62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643.350,68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32.257,94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95,23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Korisnik  01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SREDSTVA OPĆINA MARČANA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536.100,00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513.820,81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22.279,19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95,84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Razdjel 001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536.100,00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513.820,81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22.279,19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95,84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2D2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2D2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Odgojno i administrativno-tehničko osoblje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2D2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525.800,00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2D2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502.823,24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2D2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22.976,76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2D2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95,63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525.800,00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502.823,24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22.976,76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95,63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OPĆI PRIHODI  I PRIMICI   OPĆINA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494.547,00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468.077,24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26.469,76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94,65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494.547,00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468.077,24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26.469,76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94,65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436.775,00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429.826,97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6.948,03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98,41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329.140,23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-329.140,23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46.378,54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-46.378,54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54.308,20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-54.308,20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57.772,00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38.250,27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19.521,73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66,21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Naknade za prijevoz, za rad na terenu i odvojeni život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18.817,13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-18.817,13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1.064,00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-1.064,00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5.291,56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-5.291,56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Sitni inventar i auto gume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6.226,91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-6.226,91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203,06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-203,06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829,54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-829,54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2.701,50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-2.701,50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3291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598,18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-598,18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3292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Premije osiguranja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670,39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-670,39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3295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Pristojbe i naknade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1.848,00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-1.848,00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Izvor  1.5.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SREDSTVA ZA FISKALNU ODRŽIVOST DV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31.253,00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34.746,00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-3.493,00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111,18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31.253,00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34.746,00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-3.493,00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111,18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29.715,65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34.746,00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-5.030,35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116,93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29.824,85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-29.824,85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4.921,15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-4.921,15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1.537,35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1.537,35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Materijal i sirovine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2D2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A100005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2D2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Božićno darivanje </w:t>
            </w:r>
            <w:proofErr w:type="spellStart"/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predsškolske</w:t>
            </w:r>
            <w:proofErr w:type="spellEnd"/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djece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2D2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2D2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10.997,57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2D2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-697,57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2D2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106,77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  1.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10.997,57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-697,57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106,77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Izvor  1.1.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OPĆI PRIHODI  I PRIMICI   OPĆINA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10.997,57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-697,57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106,77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10.997,57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-697,57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106,77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663,88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1.836,12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26,56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663,88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-663,88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10.333,69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-2.533,69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132,48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3722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Naknade građanima i kućanstvima u naravi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10.333,69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-10.333,69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Korisnik  02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SREDSTVA PRORAČUNSKOG KORISNIKA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139.508,62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129.529,87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9.978,75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92,85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Razdjel 001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139.508,62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129.529,87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9.978,75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92,85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2D2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2D2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Odgojno i administrativno-tehničko osoblje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2D2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113.638,06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2D2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102.471,84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2D2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11.166,22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2D2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90,17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VLASTITI  PRIHODI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7.553,44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7.552,09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1,35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99,98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Izvor  3.3.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VLASTITI PRIHODI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7.553,44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7.552,09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1,35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99,98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7.553,44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7.552,09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1,35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99,98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4.878,00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4.876,65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1,35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99,97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3.705,28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-3.705,28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560,00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-560,00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611,37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-611,37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2.675,44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2.675,44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100,00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3295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Pristojbe i naknade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2.675,44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-2.675,44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ZA POSEBNE NAMJENE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98.850,00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87.617,30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11.232,70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88,64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Izvor  4.5.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PRIHODI ZA POSEBNE NAMJENE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98.850,00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87.617,30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11.232,70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88,64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96.850,00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86.154,80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10.695,20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88,96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95.965,00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85.427,04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10.537,96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89,02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1.137,40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-1.137,40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1.320,40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-1.320,40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3214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Ostale naknade troškova zaposlenima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3.118,53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-3.118,53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4.864,43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-4.864,43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Materijal i sirovine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32.730,45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-32.730,45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853,85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-853,85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Sitni inventar i auto gume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13.213,53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-13.213,53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3227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Službena, radna i zaštitna odjeća i obuća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926,00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-926,00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Usluge telefona, pošte i prijevoza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5.431,60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-5.431,60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5.119,35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-5.119,35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145,00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-145,00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lastRenderedPageBreak/>
              <w:t>3236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Zdravstvene i veterinarske usluge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2.966,03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-2.966,03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1.449,28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-1.449,28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3238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Računalne usluge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826,75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-826,75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8.331,62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-8.331,62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2.487,49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-2.487,49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3295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Pristojbe i naknade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392,53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-392,53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112,80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-112,80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885,00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727,76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157,24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82,23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3431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Bankarske usluge i usluge platnog prometa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604,06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-604,06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3433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Zatezne kamate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123,70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-123,70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1.462,50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537,50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73,13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1.462,50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537,50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73,13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Uredska oprema i namještaj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1.462,50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-1.462,50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6.538,00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6.905,83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-367,83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105,63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Izvor  5.1.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TEK.POMOĆI</w:t>
            </w:r>
            <w:proofErr w:type="spellEnd"/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DRŽAVNI PRORAČUN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1.488,00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1.424,40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63,60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95,73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1.488,00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1.424,40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63,60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95,73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1.488,00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1.424,40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63,60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95,73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Materijal i sirovine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1.424,40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-1.424,40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Izvor  5.4.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TEKUĆA POMOĆI IZ PRORAČUNA JLP(R)S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5.050,00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5.481,43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-431,43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108,54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5.481,43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-431,43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108,54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5.481,43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-431,43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108,54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Materijal i sirovine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5.481,43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-5.481,43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6.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DONACIJE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Izvor  6.1.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DONACIJE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Materijal i sirovine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9.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Višak prihoda prethodne godine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396,62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396,62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Izvor  9.4.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Višak prethodne godine namjenski prihodi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396,62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396,62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396,62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396,62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396,62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396,62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396,62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-396,62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2D2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A100003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2D2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Program provođenja </w:t>
            </w:r>
            <w:proofErr w:type="spellStart"/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predškole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2D2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1.039,00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2D2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552,60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2D2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486,40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2D2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53,19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ZA POSEBNE NAMJENE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185,40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364,60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33,71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lastRenderedPageBreak/>
              <w:t>Izvor  4.5.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PRIHODI ZA POSEBNE NAMJENE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185,40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364,60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33,71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185,40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364,60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33,71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185,40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364,60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33,71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185,40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-185,40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367,20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121,80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75,09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Izvor  5.1.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TEK.POMOĆI</w:t>
            </w:r>
            <w:proofErr w:type="spellEnd"/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DRŽAVNI PRORAČUN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489,00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367,20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121,80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75,09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489,00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367,20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121,80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75,09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489,00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367,20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121,80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75,09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367,20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-367,20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2D2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A100005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2D2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Božićno darivanje </w:t>
            </w:r>
            <w:proofErr w:type="spellStart"/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predsškolske</w:t>
            </w:r>
            <w:proofErr w:type="spellEnd"/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djece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2D2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2D2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3.104,13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2D2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-1.154,13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2D2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159,19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ZA POSEBNE NAMJENE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3.104,13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-1.154,13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159,19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Izvor  4.5.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PRIHODI ZA POSEBNE NAMJENE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3.104,13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-1.154,13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159,19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3.104,13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-1.154,13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159,19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3.104,13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-1.154,13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159,19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104,13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-104,13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Zakupnine i najamnine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2.950,00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-2.950,00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2D2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A100006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2D2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Provođenje programa zavičajne nastave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2D2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1.475,00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2D2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2.136,56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2D2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-661,56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2D2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144,85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ZA POSEBNE NAMJENE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1.136,56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-661,56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239,28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Izvor  4.5.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PRIHODI ZA POSEBNE NAMJENE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1.136,56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-661,56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239,28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1.136,56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-661,56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239,28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1.136,56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-661,56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239,28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161,56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-161,56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Usluge telefona, pošte i prijevoza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275,00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-275,00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-700,00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Izvor  5.4.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TEKUĆA POMOĆI IZ PRORAČUNA JLP(R)S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-1.000,00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2D2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A100007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2D2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Učenje stranog jezika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2D2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2D2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720,00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2D2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2D2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VLASTITI  PRIHODI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720,00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Izvor  3.3.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VLASTITI PRIHODI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720,00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720,00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720,00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31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720,00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618,03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-618,03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101,97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-101,97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2D2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A100009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2D2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Priprema obroka za vanjske korisnike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2D2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20.686,56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2D2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20.544,74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2D2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141,82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2D2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99,31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VLASTITI  PRIHODI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20.686,56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20.544,74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141,82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99,31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Izvor  3.3.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VLASTITI PRIHODI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20.686,56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20.544,74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141,82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99,31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20.686,56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20.544,74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141,82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99,31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20.686,56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20.544,74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141,82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99,31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Materijal i sirovine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20.033,08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-20.033,08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323CDA" w:rsidRPr="00323CDA" w:rsidTr="00323CD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511,66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-511,66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DA" w:rsidRPr="00323CDA" w:rsidRDefault="00323CDA" w:rsidP="00323CDA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23CDA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</w:tr>
    </w:tbl>
    <w:p w:rsidR="00323CDA" w:rsidRPr="00C42A59" w:rsidRDefault="00323CDA" w:rsidP="00C42A59">
      <w:pPr>
        <w:pStyle w:val="Bezproreda"/>
        <w:jc w:val="both"/>
        <w:rPr>
          <w:rFonts w:ascii="Times New Roman" w:hAnsi="Times New Roman"/>
          <w:sz w:val="24"/>
          <w:szCs w:val="24"/>
          <w:lang w:val="en-US"/>
        </w:rPr>
        <w:sectPr w:rsidR="00323CDA" w:rsidRPr="00C42A59" w:rsidSect="00323CDA">
          <w:pgSz w:w="16838" w:h="11906" w:orient="landscape"/>
          <w:pgMar w:top="1418" w:right="1418" w:bottom="1418" w:left="1418" w:header="720" w:footer="720" w:gutter="0"/>
          <w:cols w:space="720"/>
          <w:docGrid w:linePitch="600" w:charSpace="32768"/>
        </w:sectPr>
      </w:pPr>
    </w:p>
    <w:p w:rsidR="00FB4298" w:rsidRDefault="00FB4298">
      <w:pPr>
        <w:rPr>
          <w:b/>
        </w:rPr>
        <w:sectPr w:rsidR="00FB4298" w:rsidSect="00323CDA"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:rsidR="003B0BA6" w:rsidRDefault="003B0BA6" w:rsidP="00BD3D8F">
      <w:pPr>
        <w:jc w:val="both"/>
        <w:rPr>
          <w:b/>
        </w:rPr>
        <w:sectPr w:rsidR="003B0BA6" w:rsidSect="00323CDA">
          <w:pgSz w:w="16838" w:h="11906" w:orient="landscape"/>
          <w:pgMar w:top="1418" w:right="1418" w:bottom="1418" w:left="1418" w:header="720" w:footer="720" w:gutter="0"/>
          <w:cols w:space="720"/>
          <w:docGrid w:linePitch="600" w:charSpace="32768"/>
        </w:sectPr>
      </w:pPr>
    </w:p>
    <w:p w:rsidR="000A5C99" w:rsidRDefault="000A5C99" w:rsidP="00782922">
      <w:pPr>
        <w:pStyle w:val="Tijeloteksta"/>
        <w:rPr>
          <w:b/>
        </w:rPr>
      </w:pPr>
    </w:p>
    <w:sectPr w:rsidR="000A5C99" w:rsidSect="00323CDA">
      <w:pgSz w:w="16838" w:h="11906" w:orient="landscape"/>
      <w:pgMar w:top="1418" w:right="1418" w:bottom="1418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5591"/>
    <w:multiLevelType w:val="hybridMultilevel"/>
    <w:tmpl w:val="6BAAED9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B5D3FB7"/>
    <w:multiLevelType w:val="hybridMultilevel"/>
    <w:tmpl w:val="0D1E7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900AA2"/>
    <w:multiLevelType w:val="hybridMultilevel"/>
    <w:tmpl w:val="90F0D54E"/>
    <w:lvl w:ilvl="0" w:tplc="A802DA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5A216E"/>
    <w:multiLevelType w:val="hybridMultilevel"/>
    <w:tmpl w:val="36408F80"/>
    <w:lvl w:ilvl="0" w:tplc="041A0015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582E13AE"/>
    <w:multiLevelType w:val="hybridMultilevel"/>
    <w:tmpl w:val="BA4C6B1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A3247"/>
    <w:multiLevelType w:val="hybridMultilevel"/>
    <w:tmpl w:val="17BABB2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672"/>
    <w:rsid w:val="000371D3"/>
    <w:rsid w:val="000415C1"/>
    <w:rsid w:val="00092CB1"/>
    <w:rsid w:val="000A5C99"/>
    <w:rsid w:val="000A73AD"/>
    <w:rsid w:val="000D17EB"/>
    <w:rsid w:val="001053A4"/>
    <w:rsid w:val="001267B2"/>
    <w:rsid w:val="00162203"/>
    <w:rsid w:val="002E519D"/>
    <w:rsid w:val="00323CDA"/>
    <w:rsid w:val="003B0BA6"/>
    <w:rsid w:val="00424ADB"/>
    <w:rsid w:val="004A52A0"/>
    <w:rsid w:val="004C3070"/>
    <w:rsid w:val="005010D1"/>
    <w:rsid w:val="00587363"/>
    <w:rsid w:val="005D2AB9"/>
    <w:rsid w:val="00633E90"/>
    <w:rsid w:val="006B26B1"/>
    <w:rsid w:val="00782922"/>
    <w:rsid w:val="007D5953"/>
    <w:rsid w:val="007F24B6"/>
    <w:rsid w:val="008C4672"/>
    <w:rsid w:val="00901179"/>
    <w:rsid w:val="0094050F"/>
    <w:rsid w:val="009460CE"/>
    <w:rsid w:val="00972D46"/>
    <w:rsid w:val="0099114A"/>
    <w:rsid w:val="009B6B5E"/>
    <w:rsid w:val="009F5E0E"/>
    <w:rsid w:val="00A1096E"/>
    <w:rsid w:val="00A20708"/>
    <w:rsid w:val="00A2127A"/>
    <w:rsid w:val="00BB3CEC"/>
    <w:rsid w:val="00BD3D8F"/>
    <w:rsid w:val="00C11A9C"/>
    <w:rsid w:val="00C42A59"/>
    <w:rsid w:val="00CC23F5"/>
    <w:rsid w:val="00D47A10"/>
    <w:rsid w:val="00D77412"/>
    <w:rsid w:val="00EA55F7"/>
    <w:rsid w:val="00EB3FB9"/>
    <w:rsid w:val="00EC3A9B"/>
    <w:rsid w:val="00EC42BF"/>
    <w:rsid w:val="00FB4298"/>
    <w:rsid w:val="00FD3563"/>
    <w:rsid w:val="00FD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B4298"/>
    <w:pPr>
      <w:suppressAutoHyphens w:val="0"/>
    </w:pPr>
    <w:rPr>
      <w:rFonts w:ascii="Cambria Math" w:eastAsia="Cambria Math" w:hAnsi="Cambria Math" w:cs="Cambria Math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FB4298"/>
    <w:rPr>
      <w:rFonts w:ascii="Cambria Math" w:eastAsia="Cambria Math" w:hAnsi="Cambria Math" w:cs="Cambria Math"/>
      <w:sz w:val="24"/>
      <w:szCs w:val="20"/>
      <w:lang w:eastAsia="hr-HR"/>
    </w:rPr>
  </w:style>
  <w:style w:type="paragraph" w:customStyle="1" w:styleId="Bezproreda1">
    <w:name w:val="Bez proreda1"/>
    <w:rsid w:val="00424ADB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5010D1"/>
    <w:pPr>
      <w:suppressAutoHyphens w:val="0"/>
      <w:ind w:left="720"/>
      <w:contextualSpacing/>
    </w:pPr>
    <w:rPr>
      <w:rFonts w:ascii="Cambria Math" w:eastAsia="Cambria Math" w:hAnsi="Cambria Math" w:cs="Cambria Math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72D4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2D46"/>
    <w:rPr>
      <w:rFonts w:ascii="Tahoma" w:eastAsia="Times New Roman" w:hAnsi="Tahoma" w:cs="Tahoma"/>
      <w:sz w:val="16"/>
      <w:szCs w:val="16"/>
      <w:lang w:eastAsia="ar-SA"/>
    </w:rPr>
  </w:style>
  <w:style w:type="paragraph" w:styleId="Bezproreda">
    <w:name w:val="No Spacing"/>
    <w:uiPriority w:val="1"/>
    <w:qFormat/>
    <w:rsid w:val="00A2070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A20708"/>
  </w:style>
  <w:style w:type="character" w:styleId="Naglaeno">
    <w:name w:val="Strong"/>
    <w:uiPriority w:val="22"/>
    <w:qFormat/>
    <w:rsid w:val="00A20708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323CDA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23CDA"/>
    <w:rPr>
      <w:color w:val="800080"/>
      <w:u w:val="single"/>
    </w:rPr>
  </w:style>
  <w:style w:type="paragraph" w:customStyle="1" w:styleId="xl65">
    <w:name w:val="xl65"/>
    <w:basedOn w:val="Normal"/>
    <w:rsid w:val="00323CDA"/>
    <w:pP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hr-HR"/>
    </w:rPr>
  </w:style>
  <w:style w:type="paragraph" w:customStyle="1" w:styleId="xl66">
    <w:name w:val="xl66"/>
    <w:basedOn w:val="Normal"/>
    <w:rsid w:val="0032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hr-HR"/>
    </w:rPr>
  </w:style>
  <w:style w:type="paragraph" w:customStyle="1" w:styleId="xl67">
    <w:name w:val="xl67"/>
    <w:basedOn w:val="Normal"/>
    <w:rsid w:val="0032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</w:pPr>
    <w:rPr>
      <w:rFonts w:ascii="Arial" w:hAnsi="Arial" w:cs="Arial"/>
      <w:b/>
      <w:bCs/>
      <w:color w:val="FFFFFF"/>
      <w:lang w:eastAsia="hr-HR"/>
    </w:rPr>
  </w:style>
  <w:style w:type="paragraph" w:customStyle="1" w:styleId="xl68">
    <w:name w:val="xl68"/>
    <w:basedOn w:val="Normal"/>
    <w:rsid w:val="0032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lang w:eastAsia="hr-HR"/>
    </w:rPr>
  </w:style>
  <w:style w:type="paragraph" w:customStyle="1" w:styleId="xl69">
    <w:name w:val="xl69"/>
    <w:basedOn w:val="Normal"/>
    <w:rsid w:val="0032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lang w:eastAsia="hr-HR"/>
    </w:rPr>
  </w:style>
  <w:style w:type="paragraph" w:customStyle="1" w:styleId="xl70">
    <w:name w:val="xl70"/>
    <w:basedOn w:val="Normal"/>
    <w:rsid w:val="0032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2D2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lang w:eastAsia="hr-HR"/>
    </w:rPr>
  </w:style>
  <w:style w:type="paragraph" w:customStyle="1" w:styleId="xl71">
    <w:name w:val="xl71"/>
    <w:basedOn w:val="Normal"/>
    <w:rsid w:val="0032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lang w:eastAsia="hr-HR"/>
    </w:rPr>
  </w:style>
  <w:style w:type="paragraph" w:customStyle="1" w:styleId="xl72">
    <w:name w:val="xl72"/>
    <w:basedOn w:val="Normal"/>
    <w:rsid w:val="0032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hr-HR"/>
    </w:rPr>
  </w:style>
  <w:style w:type="paragraph" w:customStyle="1" w:styleId="xl73">
    <w:name w:val="xl73"/>
    <w:basedOn w:val="Normal"/>
    <w:rsid w:val="0032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hr-HR"/>
    </w:rPr>
  </w:style>
  <w:style w:type="paragraph" w:customStyle="1" w:styleId="xl74">
    <w:name w:val="xl74"/>
    <w:basedOn w:val="Normal"/>
    <w:rsid w:val="0032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hr-HR"/>
    </w:rPr>
  </w:style>
  <w:style w:type="paragraph" w:customStyle="1" w:styleId="xl75">
    <w:name w:val="xl75"/>
    <w:basedOn w:val="Normal"/>
    <w:rsid w:val="0032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B4298"/>
    <w:pPr>
      <w:suppressAutoHyphens w:val="0"/>
    </w:pPr>
    <w:rPr>
      <w:rFonts w:ascii="Cambria Math" w:eastAsia="Cambria Math" w:hAnsi="Cambria Math" w:cs="Cambria Math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FB4298"/>
    <w:rPr>
      <w:rFonts w:ascii="Cambria Math" w:eastAsia="Cambria Math" w:hAnsi="Cambria Math" w:cs="Cambria Math"/>
      <w:sz w:val="24"/>
      <w:szCs w:val="20"/>
      <w:lang w:eastAsia="hr-HR"/>
    </w:rPr>
  </w:style>
  <w:style w:type="paragraph" w:customStyle="1" w:styleId="Bezproreda1">
    <w:name w:val="Bez proreda1"/>
    <w:rsid w:val="00424ADB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5010D1"/>
    <w:pPr>
      <w:suppressAutoHyphens w:val="0"/>
      <w:ind w:left="720"/>
      <w:contextualSpacing/>
    </w:pPr>
    <w:rPr>
      <w:rFonts w:ascii="Cambria Math" w:eastAsia="Cambria Math" w:hAnsi="Cambria Math" w:cs="Cambria Math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72D4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2D46"/>
    <w:rPr>
      <w:rFonts w:ascii="Tahoma" w:eastAsia="Times New Roman" w:hAnsi="Tahoma" w:cs="Tahoma"/>
      <w:sz w:val="16"/>
      <w:szCs w:val="16"/>
      <w:lang w:eastAsia="ar-SA"/>
    </w:rPr>
  </w:style>
  <w:style w:type="paragraph" w:styleId="Bezproreda">
    <w:name w:val="No Spacing"/>
    <w:uiPriority w:val="1"/>
    <w:qFormat/>
    <w:rsid w:val="00A2070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A20708"/>
  </w:style>
  <w:style w:type="character" w:styleId="Naglaeno">
    <w:name w:val="Strong"/>
    <w:uiPriority w:val="22"/>
    <w:qFormat/>
    <w:rsid w:val="00A20708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323CDA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23CDA"/>
    <w:rPr>
      <w:color w:val="800080"/>
      <w:u w:val="single"/>
    </w:rPr>
  </w:style>
  <w:style w:type="paragraph" w:customStyle="1" w:styleId="xl65">
    <w:name w:val="xl65"/>
    <w:basedOn w:val="Normal"/>
    <w:rsid w:val="00323CDA"/>
    <w:pP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hr-HR"/>
    </w:rPr>
  </w:style>
  <w:style w:type="paragraph" w:customStyle="1" w:styleId="xl66">
    <w:name w:val="xl66"/>
    <w:basedOn w:val="Normal"/>
    <w:rsid w:val="0032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hr-HR"/>
    </w:rPr>
  </w:style>
  <w:style w:type="paragraph" w:customStyle="1" w:styleId="xl67">
    <w:name w:val="xl67"/>
    <w:basedOn w:val="Normal"/>
    <w:rsid w:val="0032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</w:pPr>
    <w:rPr>
      <w:rFonts w:ascii="Arial" w:hAnsi="Arial" w:cs="Arial"/>
      <w:b/>
      <w:bCs/>
      <w:color w:val="FFFFFF"/>
      <w:lang w:eastAsia="hr-HR"/>
    </w:rPr>
  </w:style>
  <w:style w:type="paragraph" w:customStyle="1" w:styleId="xl68">
    <w:name w:val="xl68"/>
    <w:basedOn w:val="Normal"/>
    <w:rsid w:val="0032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lang w:eastAsia="hr-HR"/>
    </w:rPr>
  </w:style>
  <w:style w:type="paragraph" w:customStyle="1" w:styleId="xl69">
    <w:name w:val="xl69"/>
    <w:basedOn w:val="Normal"/>
    <w:rsid w:val="0032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lang w:eastAsia="hr-HR"/>
    </w:rPr>
  </w:style>
  <w:style w:type="paragraph" w:customStyle="1" w:styleId="xl70">
    <w:name w:val="xl70"/>
    <w:basedOn w:val="Normal"/>
    <w:rsid w:val="0032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2D2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lang w:eastAsia="hr-HR"/>
    </w:rPr>
  </w:style>
  <w:style w:type="paragraph" w:customStyle="1" w:styleId="xl71">
    <w:name w:val="xl71"/>
    <w:basedOn w:val="Normal"/>
    <w:rsid w:val="0032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lang w:eastAsia="hr-HR"/>
    </w:rPr>
  </w:style>
  <w:style w:type="paragraph" w:customStyle="1" w:styleId="xl72">
    <w:name w:val="xl72"/>
    <w:basedOn w:val="Normal"/>
    <w:rsid w:val="0032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hr-HR"/>
    </w:rPr>
  </w:style>
  <w:style w:type="paragraph" w:customStyle="1" w:styleId="xl73">
    <w:name w:val="xl73"/>
    <w:basedOn w:val="Normal"/>
    <w:rsid w:val="0032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hr-HR"/>
    </w:rPr>
  </w:style>
  <w:style w:type="paragraph" w:customStyle="1" w:styleId="xl74">
    <w:name w:val="xl74"/>
    <w:basedOn w:val="Normal"/>
    <w:rsid w:val="0032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hr-HR"/>
    </w:rPr>
  </w:style>
  <w:style w:type="paragraph" w:customStyle="1" w:styleId="xl75">
    <w:name w:val="xl75"/>
    <w:basedOn w:val="Normal"/>
    <w:rsid w:val="0032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6487</Words>
  <Characters>36982</Characters>
  <Application>Microsoft Office Word</Application>
  <DocSecurity>0</DocSecurity>
  <Lines>308</Lines>
  <Paragraphs>86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cp:lastPrinted>2025-01-29T09:25:00Z</cp:lastPrinted>
  <dcterms:created xsi:type="dcterms:W3CDTF">2025-02-12T13:54:00Z</dcterms:created>
  <dcterms:modified xsi:type="dcterms:W3CDTF">2025-02-12T13:54:00Z</dcterms:modified>
</cp:coreProperties>
</file>