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B7F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B7F92" w:rsidRDefault="00F42A8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B7F92" w:rsidRDefault="00F42A8F">
            <w:pPr>
              <w:spacing w:after="0" w:line="240" w:lineRule="auto"/>
            </w:pPr>
            <w:r>
              <w:t>35597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B7F92" w:rsidRDefault="00F42A8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B7F92" w:rsidRDefault="00F42A8F">
            <w:pPr>
              <w:spacing w:after="0" w:line="240" w:lineRule="auto"/>
            </w:pPr>
            <w:r>
              <w:t>DJEČJI VRTIĆ VRTULJAK MARČANA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B7F92" w:rsidRDefault="00F42A8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B7F92" w:rsidRDefault="00F42A8F">
            <w:pPr>
              <w:spacing w:after="0" w:line="240" w:lineRule="auto"/>
            </w:pPr>
            <w:r>
              <w:t>21</w:t>
            </w:r>
          </w:p>
        </w:tc>
      </w:tr>
    </w:tbl>
    <w:p w:rsidR="00EB7F92" w:rsidRDefault="00F42A8F">
      <w:r>
        <w:br/>
      </w:r>
    </w:p>
    <w:p w:rsidR="00EB7F92" w:rsidRDefault="00F42A8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B7F92" w:rsidRDefault="00F42A8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B7F92" w:rsidRDefault="00F42A8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643.095,03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859.842,19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641.888,18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855.885,20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EB7F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1.206,85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3.956,99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327,9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300,5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EB7F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4.394,80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300,5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EB7F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EB7F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171,3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Ukupno ostvareni prihodi u izvještajnom  razdoblju ostvareni su u iznosu od 859.842,19 EUR, što čini 33,7% više od ostvarenja prethodne godine.  Najveće povećanje bilježe prihodi iz nadležnog proračuna za financiranje redovne djelatnosti proračunskog koris</w:t>
      </w:r>
      <w:r>
        <w:t xml:space="preserve">nika ( indeks 137,3); pomoći proračunskim korisnicima iz proračuna koji im nije nadležan ostvaren je u iznosu od 21.339,90 (indeks 257,9) a razlog povećanju je veći broj upisane djece sa područja </w:t>
      </w:r>
      <w:r>
        <w:lastRenderedPageBreak/>
        <w:t xml:space="preserve">druge općine i grada.  Ostali nepsomenuti prihodi ostvareni </w:t>
      </w:r>
      <w:r>
        <w:t>u iznosu od 105.600,98 EUR odnosi se na sufinanciranje boravka djece, (indeks 114,7) a do povećanja je došlo je je upisan veći broj djece. U izvještajnom razdoblju ostvareno je 437,81 EUR manjka prihoda nad rashodima. Preneseni višak prihoda prethodne godi</w:t>
      </w:r>
      <w:r>
        <w:t>ne iznosi 140,97 EUR, tako da manjak prihoda na kraju izvještajnog razdoblja iznosi 296,84 EUR</w:t>
      </w:r>
    </w:p>
    <w:p w:rsidR="00EB7F92" w:rsidRDefault="00F42A8F">
      <w:r>
        <w:br/>
      </w:r>
    </w:p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643.095,03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859.842,19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U izvještajnom razdoblju ostvareni su u iznosu od 859.842,19 EUR (ostvarenje prethodne godine 643.095,03 EUR) i  bilježe povećanje za 33,7% u odnosu na ostvarenje prethodne godine. Strukutura prihoda je slijedeća: 636 pomoći proračunskim korisnicimaiz pror</w:t>
      </w:r>
      <w:r>
        <w:t>ačuna koji im nije nadležan 21.339,90 EUR;  652 ostali prihodi - sufinanciranje cijene usluge  105.600,98 EUR;  661 prihdi od pruženih usluga  27.404,40 EUR;   671 prihodi za financiranje rashoda poslovanja  705.496,91 EUR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8.273,03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21.339,90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257,9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Ostvarenje je veće u odnosu na izvještajno razdoblje prethodne godine iz razloga što su u izvještajnom razdoblju upisana djeca sa prebivališta druge općine i grada, za koje se sufinancira boravak i zbog tekućih pomoći državnog proračuna z</w:t>
      </w:r>
      <w:r>
        <w:t>a program za darovitu djecu koja u izvještajnom razdoblju prethodne godine nisu ostvareni.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8.273,03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21.339,90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257,9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lastRenderedPageBreak/>
        <w:t>Ostvareni prihodi imaju slijedeću strukuturu: tekuće pomoći državnog proračuna (program predškole, program za djecu s teškoćama u integraciji i program za darovitu djecu) 5.858,40 EUR;  tekuća pomoć Istarske županije 5.000,00 EUR za program zavičajnosti; t</w:t>
      </w:r>
      <w:r>
        <w:t>ekuća pomoć općine 6.660,63 EUR za boravak djece sa područja Općine Barban i tekuća pomoć grada 7.820,897 EUR za boravak djece sa područja Grada Pule.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92.043,39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105.600,98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Ostvareni prihodi imaju slijedeću strukturu: - sufinanciranje boravka roditelji 94.949,70 EUR i -sufinanciranje Općine prema socijalnom programu 10.651,28 EUR Veće ostvarenje prihoda rezultat je većeg broja upisane djece u vrtić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28.957,80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27.404,40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Ova skupina prihoda u izvještajnom razdoblju ostvarena    u iznosu od 27.404,40  EUR, obuhvaća prihode od usluge pripreme  i  dostave obroka i možemo reći da je na razini ostvarenja prehodne godine. Na kraju izvještajnog razdoblja nema dospojelih potraživa</w:t>
      </w:r>
      <w:r>
        <w:t>nja s osnove prihoda od pruženih usluga pripreme i dostave obroka.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</w:t>
            </w:r>
            <w:r>
              <w:rPr>
                <w:sz w:val="18"/>
              </w:rPr>
              <w:t>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513.820,81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705.496,91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Prihodi od nadležnog proračuna u izvještajnom razdoblju ostvareni su u iznosu od 705.496,91 EUR (ostvarenje prethodne godine 513.820,81 EUR, ostvarenje za 2024. godinu 373.435,38EUR) i  bilježe povećanje za 37,3% u odnosu na ostvarenje prethodne godine, iz</w:t>
      </w:r>
      <w:r>
        <w:t xml:space="preserve"> razloga što je povećana osnovica za plaće te naknada za topli obrok, a i veći je broj zaposlenih. Rast cijena prehrambenih proizvoda, kao i materijala za čišćenje i održavanje i </w:t>
      </w:r>
      <w:r>
        <w:lastRenderedPageBreak/>
        <w:t>higijensku  njegu uvjetovalo je povećanja izdvajanja sredstava Općine Marčana</w:t>
      </w:r>
      <w:r>
        <w:t>, jer se uvidjelo da vlastita sredstva Dječjeg vrtića  nisu dostatna.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470.169,62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641.353,95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136,4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Rashodi za zaposlene iznose 641.353,95  EUR  što je za 36,4% više u odnosu na prethodnu godinu iz razloga što je veći broj zaposlenih a povećana je i osnovica te naknada za topli obrok (uskladba s Osnivačem zbog povećane stope inflacije)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160.657,11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201.476,39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Materijalni rashodi bilježe povećanje, a najznačajnije povećanje odnosi se na usluge tekućeg i investicijskog održavanja -popravak postrojenja i opreme;  komunalne usluge - povećanje naknade za uređenje voda i preventivne deratizacije; usluge promidžbe i i</w:t>
      </w:r>
      <w:r>
        <w:t>nformiranja radi tiskanja brošure radi projekta "vrtić zdravlja" koji je realiziran u travnju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298,3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Rashodi služebenih putovanja bilježe povećanje jer je u izvještajnom razdoblju povećan broj odlazaka na edukacije u Zagreb, Dubrovnik, Sveti Martin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194,6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U izvještajnom razdoblju  ravnateljica i odgajatelji prisustvovali su edukacijama Udruge Pedagogico, Učilišta Eduka savjet i prisustvovali su seminaru dani predškolskog odgoja.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11.370,90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15.240,68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134,0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Uredski materijal i ostali materijalni rashodi obuhvaćaju rashode uredskog materijala, materijala i sredstava za čišćenje i održavanje, materijala za higijenske potrebe. 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59.669,36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71.269,60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Rahodi za materijal i sirovinu obuhvaćaju rashode na nabavu prehrambenih namirnica, i materijala za didaktiku. Povećanje ostvarenja rezultat je povećanja cijena prehrambenih i ostalih artikala.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33.642,61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68.404,00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203,3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Rashodi za usluge obuhvaćaju usluge tekućeg  i investicijskog održavanja (8.809,56 EUR od čega je najznačajnija usluga održavanja prostora vrtića,i postrojenja i opreme), usluge promidžbe i informiranja (3.081,25 EUR od čega je najznačajniji trošak tiskanj</w:t>
      </w:r>
      <w:r>
        <w:t xml:space="preserve">a brošure radi projekta "vrtić zdravlja" ) komunalne usluge (2.509,77 EUR gdje najveće povećanje bilježi </w:t>
      </w:r>
      <w:r>
        <w:lastRenderedPageBreak/>
        <w:t>usluga iznošenja i odvoza smeća jer od rujna komunalno poduzeće fakturira DV uslugu odvoza kada počinje i naplata odvoza otpada plastike i papira); zdr</w:t>
      </w:r>
      <w:r>
        <w:t>avstvene usluge (8.860,41 EUR bilježe povećanje jer su u izvještajnom razdoblju ostvareni sistematski pregledi zaposlenika koji prethodne godine nisu realizirani), ostale usluge (30.078,48 EUR najvećim dijelom odnose se na uslugu pranja i čišćenja i na usl</w:t>
      </w:r>
      <w:r>
        <w:t>uge za obilježavanje programa božićno darivanje predškoslke djece)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rad </w:t>
            </w:r>
            <w:r>
              <w:rPr>
                <w:sz w:val="18"/>
              </w:rPr>
              <w:t>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Naknade za rad upravnog vijeća u izvještajnom razdoblju nisu ostvareni jer su se sve sjednice održavale on line.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54,5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Reprezentacija je prethodne godine ostvarena u većem iznosu jer je vrtić bio organizator programa zavičajnosti, koje u izvještajnom razdoblju nije organizirao.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4.915,97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38,3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Pristojbe i naknade odnose se na novčanu naknadu zbog nezapošljavanja osoba s invaliditetom.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Financijski rashodi odnose se na usluge banke, koja je u izvještajnom razdoblju povećala naknadu.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10.333,69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12.165,03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Ostvareni rashodi naknade građanima i kućanstvima u cijelosti se odnose na program božićnog darivanja predškolske djece - a nabavu poklon paketa.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12.561,89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Stanje obračunatih prihoda poslovanja- nenaplaćena   većinom se odnose na sufinanciranje boravka i rashoda poslovanja za prosinac 2025. Dospjela potraživanja u iznosu od 547,18 EUR, a nedospjela potraživanja u iznosu od 7.309,71 EUR. Nije bilo ispravka vri</w:t>
      </w:r>
      <w:r>
        <w:t>jednosti potraživanja jer nema dugovanja dužeg od dvije godine.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Uredska oprema i </w:t>
            </w:r>
            <w:r>
              <w:rPr>
                <w:sz w:val="18"/>
              </w:rPr>
              <w:t>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247,9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Rashodi se odnose na nabavu opreme za vrtić područno odjeljenje u Raklju.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Rashodi se odnose na nabavu telefona za koje prethodne godine nije bilo ostvarenja.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EB7F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Manjak prihoda za pokriće u slijedećem razdoblju odnosi se na manjak prihoda od sufinanciranja boravka. Dospjela potraživanja za te prihode na kraju izvještajnog razdoblja iznose 547,18 EUR a prema dospijeću imaju slijedeću strukturu: 10/2025 37,24 EUR, 11</w:t>
      </w:r>
      <w:r>
        <w:t>/2025  291,34  EUR i 12/2025 218,60 EUR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novčanih sredstava na kraju izvještajnog </w:t>
            </w:r>
            <w:r>
              <w:rPr>
                <w:sz w:val="18"/>
              </w:rPr>
              <w:t>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56.377,68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Stanje novčanih sredstava iznosi 0,00  jer je 31.12.2025. zatvoren račun korisnika, od 01.01.2026. posluje putem riznice.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8.766,74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11.241,90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lastRenderedPageBreak/>
        <w:t>U izvještajnom razdoblju nabavljeno je opreme u vrijednosti od 3.325,58  EUR, i sitnog inventara u vrijednosti 7.175,82 EUR.  Zbog dotrajalosti i neupotrebljivosti izvršen je  rashod   osnovnih sredstava - plinskog štednjaka i sudopera sa dva korita -  u u</w:t>
      </w:r>
      <w:r>
        <w:t>kupnom iznosu od =3.325,58 EUR 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za obavljanje 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86,9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zalihe materijala odnose se na namirnice za pripremu obroka ukupne vrijednosti = 420,07 EUR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8.126,71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280,9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Ostala potraživanja najvećim dijelom odnose se na potraživanje naknada bolovanja na teret HZZO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(šifre 161 do 163 + </w:t>
            </w:r>
            <w:r>
              <w:rPr>
                <w:sz w:val="18"/>
              </w:rPr>
              <w:t>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75.505,89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646,6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Stanje potraživanja većinom  se odnose na sufinanciranje boravka i rashoda poslovanja za prosinac 2025. i iznose 9.381,49 EUR , od čega dospjela potraživanja u iznosu od 547,18 EUR, a nedospjela potraživanja u iznosu od 8.834,31 EUR.</w:t>
      </w:r>
    </w:p>
    <w:p w:rsidR="00EB7F92" w:rsidRDefault="00F42A8F">
      <w:r>
        <w:t>Potraživanja za tekuće</w:t>
      </w:r>
      <w:r>
        <w:t xml:space="preserve"> pomoći proračunskim korisnicima iz proračuna koji im nije nadležan  1.105,00 EUR</w:t>
      </w:r>
    </w:p>
    <w:p w:rsidR="00EB7F92" w:rsidRDefault="00F42A8F">
      <w:r>
        <w:t>Potraživanja za prihde od pruženih usluga pripreme i dostave hrane 2.075,40  EUR</w:t>
      </w:r>
    </w:p>
    <w:p w:rsidR="00EB7F92" w:rsidRDefault="00F42A8F">
      <w:r>
        <w:t>Potraživanja PK za sredstva uplaćena u nadležni proračun 62.944,00 EUR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b/>
          <w:sz w:val="28"/>
        </w:rPr>
        <w:t>Promjene u vrijednost</w:t>
      </w:r>
      <w:r>
        <w:rPr>
          <w:b/>
          <w:sz w:val="28"/>
        </w:rPr>
        <w:t>i i obujmu imovine i obveza</w:t>
      </w:r>
    </w:p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EB7F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U izvještajnom razdoblju  zbog dotrajalosti i neupotrebljivosti izvešen je rashod  sitnog inventara, u ukupnom iznosu od =1.977,77 EUR</w:t>
      </w:r>
    </w:p>
    <w:p w:rsidR="00EB7F92" w:rsidRDefault="00EB7F92"/>
    <w:p w:rsidR="00EB7F92" w:rsidRDefault="00F42A8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B7F92" w:rsidRDefault="00F42A8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B7F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F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EB7F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</w:t>
            </w:r>
            <w:r>
              <w:rPr>
                <w:sz w:val="18"/>
              </w:rPr>
              <w:t>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B7F92" w:rsidRDefault="00F42A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B7F92" w:rsidRDefault="00EB7F92">
      <w:pPr>
        <w:spacing w:after="0"/>
      </w:pPr>
    </w:p>
    <w:p w:rsidR="00EB7F92" w:rsidRDefault="00F42A8F">
      <w:r>
        <w:t>Na kraju izvještajnog razdoblja nema dospojelih obveza. </w:t>
      </w:r>
    </w:p>
    <w:p w:rsidR="00EB7F92" w:rsidRDefault="00F42A8F">
      <w:r>
        <w:t>Ukupne obveze u iznosu od 72.211,42 EUR , na dan  31.12.2025. su nedospjele i imaju slijedeću strukturu</w:t>
      </w:r>
    </w:p>
    <w:p w:rsidR="00EB7F92" w:rsidRDefault="00F42A8F">
      <w:pPr>
        <w:pStyle w:val="Odlomakpopisa"/>
        <w:numPr>
          <w:ilvl w:val="0"/>
          <w:numId w:val="1"/>
        </w:numPr>
      </w:pPr>
      <w:r>
        <w:t>231 obveze za zaposlene 56.879,73 EUR</w:t>
      </w:r>
    </w:p>
    <w:p w:rsidR="00EB7F92" w:rsidRDefault="00F42A8F">
      <w:pPr>
        <w:pStyle w:val="Odlomakpopisa"/>
        <w:numPr>
          <w:ilvl w:val="0"/>
          <w:numId w:val="1"/>
        </w:numPr>
      </w:pPr>
      <w:r>
        <w:t>232 obveze za materijalne rashode 8.739,53 EUR</w:t>
      </w:r>
    </w:p>
    <w:p w:rsidR="00EB7F92" w:rsidRDefault="00F42A8F">
      <w:pPr>
        <w:pStyle w:val="Odlomakpopisa"/>
        <w:numPr>
          <w:ilvl w:val="0"/>
          <w:numId w:val="1"/>
        </w:numPr>
      </w:pPr>
      <w:r>
        <w:t>242 obveze za nabavu proizvedene imovine 660,00 EUR</w:t>
      </w:r>
    </w:p>
    <w:p w:rsidR="00EB7F92" w:rsidRDefault="00F42A8F">
      <w:pPr>
        <w:pStyle w:val="Odlomakpopisa"/>
        <w:numPr>
          <w:ilvl w:val="0"/>
          <w:numId w:val="1"/>
        </w:numPr>
      </w:pPr>
      <w:r>
        <w:t>276 obveze proračunskog korisnika za povrat u proračun - bolovanje HZZO 5.932,16  EUR</w:t>
      </w:r>
    </w:p>
    <w:p w:rsidR="00EB7F92" w:rsidRDefault="00F42A8F">
      <w:r>
        <w:t> </w:t>
      </w:r>
    </w:p>
    <w:p w:rsidR="00EB7F92" w:rsidRDefault="00EB7F92"/>
    <w:sectPr w:rsidR="00EB7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24BA3"/>
    <w:multiLevelType w:val="hybridMultilevel"/>
    <w:tmpl w:val="D10C4E2A"/>
    <w:name w:val="disc"/>
    <w:lvl w:ilvl="0" w:tplc="06069114">
      <w:start w:val="1"/>
      <w:numFmt w:val="bullet"/>
      <w:lvlText w:val="•"/>
      <w:lvlJc w:val="left"/>
      <w:pPr>
        <w:ind w:left="720" w:hanging="360"/>
      </w:pPr>
    </w:lvl>
    <w:lvl w:ilvl="1" w:tplc="14401C90">
      <w:start w:val="1"/>
      <w:numFmt w:val="bullet"/>
      <w:lvlText w:val="•"/>
      <w:lvlJc w:val="left"/>
      <w:pPr>
        <w:ind w:left="1440" w:hanging="360"/>
      </w:pPr>
    </w:lvl>
    <w:lvl w:ilvl="2" w:tplc="2DAECDC0">
      <w:start w:val="1"/>
      <w:numFmt w:val="bullet"/>
      <w:lvlText w:val="•"/>
      <w:lvlJc w:val="left"/>
      <w:pPr>
        <w:ind w:left="2160" w:hanging="360"/>
      </w:pPr>
    </w:lvl>
    <w:lvl w:ilvl="3" w:tplc="ED462272">
      <w:start w:val="1"/>
      <w:numFmt w:val="bullet"/>
      <w:lvlText w:val="•"/>
      <w:lvlJc w:val="left"/>
      <w:pPr>
        <w:ind w:left="2880" w:hanging="360"/>
      </w:pPr>
    </w:lvl>
    <w:lvl w:ilvl="4" w:tplc="D0BA0ED0">
      <w:start w:val="1"/>
      <w:numFmt w:val="bullet"/>
      <w:lvlText w:val="•"/>
      <w:lvlJc w:val="left"/>
      <w:pPr>
        <w:ind w:left="3600" w:hanging="360"/>
      </w:pPr>
    </w:lvl>
    <w:lvl w:ilvl="5" w:tplc="B28AFEE0">
      <w:start w:val="1"/>
      <w:numFmt w:val="bullet"/>
      <w:lvlText w:val="•"/>
      <w:lvlJc w:val="left"/>
      <w:pPr>
        <w:ind w:left="4320" w:hanging="360"/>
      </w:pPr>
    </w:lvl>
    <w:lvl w:ilvl="6" w:tplc="920E8798">
      <w:start w:val="1"/>
      <w:numFmt w:val="bullet"/>
      <w:lvlText w:val="•"/>
      <w:lvlJc w:val="left"/>
      <w:pPr>
        <w:ind w:left="5040" w:hanging="360"/>
      </w:pPr>
    </w:lvl>
    <w:lvl w:ilvl="7" w:tplc="4F90AB4A">
      <w:start w:val="1"/>
      <w:numFmt w:val="bullet"/>
      <w:lvlText w:val="•"/>
      <w:lvlJc w:val="left"/>
      <w:pPr>
        <w:ind w:left="5760" w:hanging="360"/>
      </w:pPr>
    </w:lvl>
    <w:lvl w:ilvl="8" w:tplc="AD8AFDF2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92"/>
    <w:rsid w:val="00EB7F92"/>
    <w:rsid w:val="00F4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2026-02-15T15:03:00Z</dcterms:created>
  <dcterms:modified xsi:type="dcterms:W3CDTF">2026-02-15T15:03:00Z</dcterms:modified>
</cp:coreProperties>
</file>